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74A" w:rsidP="00B37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HLTDEN021 Apply the principles of radiation biology and protection in dental practice</w:t>
      </w:r>
      <w:r>
        <w:fldChar w:fldCharType="end"/>
      </w:r>
    </w:p>
    <w:p w:rsidR="00B3774A" w:rsidP="00B3774A">
      <w:pPr>
        <w:pStyle w:val="Version"/>
        <w:sectPr w:rsidSect="007F2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2B20" w:rsidP="007F2B20">
      <w:pPr>
        <w:pStyle w:val="SuperHeading"/>
      </w:pPr>
      <w:r w:rsidRPr="007F2B20">
        <w:t>HLTDEN021</w:t>
      </w:r>
      <w:r w:rsidRPr="007F2B20">
        <w:t xml:space="preserve"> Apply the principles of radiation biology and protection in dental practice</w:t>
      </w:r>
    </w:p>
    <w:p w:rsidR="00000000" w:rsidRPr="007F2B20" w:rsidP="007F2B20">
      <w:pPr>
        <w:pStyle w:val="Heading1"/>
      </w:pPr>
      <w:bookmarkStart w:id="1" w:name="O_1200991"/>
      <w:bookmarkEnd w:id="1"/>
      <w:r w:rsidRPr="007F2B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2B20" w:rsidP="007F2B20">
            <w:pPr>
              <w:pStyle w:val="BodyText"/>
            </w:pPr>
            <w:r w:rsidRPr="007F2B2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rPr>
                <w:rStyle w:val="SpecialBold"/>
              </w:rPr>
              <w:t>Comments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BodyText"/>
            </w:pPr>
            <w:r w:rsidRPr="007F2B20">
              <w:t>Release 2 HLTDEN021 Apply the principles of radiation biology and protection in dental practice supersedes and is equivalent to Release 1 HLTDEN021 Apply the principles of radiation biology and protection in dental practice.</w:t>
            </w:r>
          </w:p>
          <w:p w:rsidR="00000000" w:rsidRPr="007F2B20" w:rsidP="007F2B20">
            <w:pPr>
              <w:pStyle w:val="BodyText"/>
            </w:pPr>
            <w:r w:rsidRPr="007F2B20">
              <w:t>Updated:</w:t>
            </w:r>
          </w:p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t>Mapping details and mi</w:t>
            </w:r>
            <w:r w:rsidRPr="007F2B20">
              <w:t>nor corrections.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BodyText"/>
            </w:pPr>
            <w:r w:rsidRPr="007F2B20">
              <w:t>HLTDEN021 Apply the principles of radiation biology and protection in dental practice supersedes and is equivalent to HLTDEN007 Apply the principles of radiation biology and protection in dental practice.</w:t>
            </w:r>
          </w:p>
        </w:tc>
      </w:tr>
    </w:tbl>
    <w:p w:rsidR="00000000" w:rsidRPr="007F2B20" w:rsidP="007F2B20">
      <w:pPr>
        <w:pStyle w:val="BodyText"/>
      </w:pPr>
    </w:p>
    <w:p w:rsidR="00000000" w:rsidRPr="007F2B20" w:rsidP="007F2B20">
      <w:pPr>
        <w:pStyle w:val="AllowPageBreak"/>
      </w:pPr>
    </w:p>
    <w:p w:rsidR="00000000" w:rsidRPr="007F2B20" w:rsidP="007F2B20">
      <w:pPr>
        <w:pStyle w:val="Heading1"/>
      </w:pPr>
      <w:bookmarkStart w:id="2" w:name="O_1200990"/>
      <w:bookmarkEnd w:id="2"/>
      <w:r w:rsidRPr="007F2B20">
        <w:t>Application</w:t>
      </w:r>
    </w:p>
    <w:p w:rsidR="00000000" w:rsidRPr="007F2B20" w:rsidP="00B3774A">
      <w:pPr>
        <w:pStyle w:val="BodyText"/>
      </w:pPr>
      <w:r w:rsidRPr="007F2B20">
        <w:t>This unit of competency describes the performance outcomes, skills and knowledge required to minimise the risk of radiation to the patient, practitioner and others during the exposure of a prescribed dental radiographic image. It also describes</w:t>
      </w:r>
      <w:r w:rsidRPr="007F2B20">
        <w:t xml:space="preserve"> the quality assurance measures that must be undertaken to ensure all radiographs are of consistent diagnostic standard.</w:t>
      </w:r>
    </w:p>
    <w:p w:rsidR="00000000" w:rsidRPr="007F2B20" w:rsidP="00B3774A">
      <w:pPr>
        <w:pStyle w:val="BodyText"/>
      </w:pPr>
      <w:r w:rsidRPr="007F2B20">
        <w:t>This unit applies to dental assisting work under the instruction and supervision of the dental practitioner.</w:t>
      </w:r>
    </w:p>
    <w:p w:rsidR="00000000" w:rsidRPr="007F2B20" w:rsidP="00B3774A">
      <w:pPr>
        <w:pStyle w:val="BodyText"/>
      </w:pPr>
      <w:r w:rsidRPr="007F2B20">
        <w:t>The skills in this unit mu</w:t>
      </w:r>
      <w:r w:rsidRPr="007F2B20">
        <w:t>st be applied in accordance with Commonwealth and State/Territory legislation, Australian standards and industry codes of practice.</w:t>
      </w:r>
    </w:p>
    <w:p w:rsidR="00000000" w:rsidRPr="007F2B20" w:rsidP="00B3774A">
      <w:pPr>
        <w:pStyle w:val="BodyText"/>
      </w:pPr>
      <w:r w:rsidRPr="007F2B20">
        <w:t>No occupational licensing, certification or specific legislative requirements apply to this unit at the time of publication.</w:t>
      </w:r>
    </w:p>
    <w:p w:rsidR="00000000" w:rsidRPr="007F2B20" w:rsidP="00B3774A">
      <w:pPr>
        <w:pStyle w:val="BodyText"/>
      </w:pPr>
      <w:r w:rsidRPr="007F2B20">
        <w:t>Dental radiography work must only be performed by a person with a radiation user licence granted by the relevant State/Territory regulatory authority under legislation.</w:t>
      </w:r>
    </w:p>
    <w:p w:rsidR="00000000" w:rsidRPr="007F2B20" w:rsidP="007F2B20">
      <w:pPr>
        <w:pStyle w:val="Heading1"/>
      </w:pPr>
      <w:bookmarkStart w:id="3" w:name="O_1200989"/>
      <w:bookmarkEnd w:id="3"/>
      <w:r w:rsidRPr="007F2B20">
        <w:t>Pre-requisite Unit</w:t>
      </w:r>
    </w:p>
    <w:p w:rsidR="00000000" w:rsidRPr="007F2B20" w:rsidP="00B3774A">
      <w:pPr>
        <w:pStyle w:val="BodyText"/>
      </w:pPr>
      <w:r w:rsidRPr="007F2B20">
        <w:t>Nil</w:t>
      </w:r>
    </w:p>
    <w:p w:rsidR="00000000" w:rsidRPr="007F2B20" w:rsidP="007F2B20">
      <w:pPr>
        <w:pStyle w:val="Heading1"/>
      </w:pPr>
      <w:bookmarkStart w:id="4" w:name="O_1200988"/>
      <w:bookmarkEnd w:id="4"/>
      <w:r w:rsidRPr="007F2B20">
        <w:t>Competency Field</w:t>
      </w:r>
    </w:p>
    <w:p w:rsidR="00000000" w:rsidRPr="007F2B20" w:rsidP="00B3774A">
      <w:pPr>
        <w:pStyle w:val="BodyText"/>
      </w:pPr>
      <w:r w:rsidRPr="007F2B20">
        <w:t>Dental A</w:t>
      </w:r>
      <w:r w:rsidRPr="007F2B20">
        <w:t>ssisting</w:t>
      </w:r>
    </w:p>
    <w:p w:rsidR="00000000" w:rsidRPr="007F2B20" w:rsidP="007F2B20">
      <w:pPr>
        <w:pStyle w:val="Heading1"/>
      </w:pPr>
      <w:bookmarkStart w:id="5" w:name="O_1200987"/>
      <w:bookmarkEnd w:id="5"/>
      <w:r w:rsidRPr="007F2B20">
        <w:t>Unit Sector</w:t>
      </w:r>
    </w:p>
    <w:p w:rsidR="00000000" w:rsidRPr="007F2B20" w:rsidP="00B3774A">
      <w:pPr>
        <w:pStyle w:val="BodyText"/>
      </w:pPr>
      <w:r w:rsidRPr="007F2B20">
        <w:t xml:space="preserve">Dental </w:t>
      </w:r>
    </w:p>
    <w:p w:rsidR="00000000" w:rsidRPr="007F2B20" w:rsidP="007F2B20">
      <w:pPr>
        <w:pStyle w:val="Heading1"/>
      </w:pPr>
      <w:bookmarkStart w:id="6" w:name="O_1200986"/>
      <w:bookmarkEnd w:id="6"/>
      <w:r w:rsidRPr="007F2B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BodyText"/>
            </w:pPr>
            <w:r w:rsidRPr="007F2B2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rPr>
                <w:rStyle w:val="SpecialBold"/>
              </w:rPr>
              <w:t>PERFORMANCE</w:t>
            </w:r>
            <w:r w:rsidRPr="007F2B20">
              <w:t xml:space="preserve"> </w:t>
            </w:r>
            <w:r w:rsidRPr="007F2B20">
              <w:rPr>
                <w:rStyle w:val="SpecialBold"/>
              </w:rPr>
              <w:t>CRITERIA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BodyText"/>
            </w:pPr>
            <w:r w:rsidRPr="007F2B2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BodyText"/>
              <w:rPr>
                <w:lang w:val="en-NZ"/>
              </w:rPr>
            </w:pPr>
            <w:r w:rsidRPr="007F2B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List"/>
              <w:rPr>
                <w:lang w:val="en-NZ"/>
              </w:rPr>
            </w:pPr>
            <w:r w:rsidRPr="007F2B20">
              <w:t>1.  Apply the principles of radiation biology to protect patient, practitioner and others from ionising radiation.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List"/>
            </w:pPr>
            <w:r w:rsidRPr="007F2B20">
              <w:t>1.1. Implement safe work practices to minimi</w:t>
            </w:r>
            <w:r w:rsidRPr="007F2B20">
              <w:t>se risks to practitioner, patient and others of immediate and long-term effects of radiation.</w:t>
            </w:r>
          </w:p>
          <w:p w:rsidR="00000000" w:rsidRPr="007F2B20" w:rsidP="007F2B20">
            <w:pPr>
              <w:pStyle w:val="List"/>
            </w:pPr>
            <w:r w:rsidRPr="007F2B20">
              <w:t>1.2. Correctly identify and select the exposure variables of dental X-ray generating equipment according to manufacturers’ instructions and patient requirements.</w:t>
            </w:r>
          </w:p>
          <w:p w:rsidR="00000000" w:rsidP="007F2B20">
            <w:pPr>
              <w:pStyle w:val="List"/>
              <w:rPr>
                <w:lang w:val="en-NZ"/>
              </w:rPr>
            </w:pPr>
            <w:r w:rsidRPr="007F2B20">
              <w:t>1.3. Apply the correct units of radiation dose.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List"/>
              <w:rPr>
                <w:lang w:val="en-NZ"/>
              </w:rPr>
            </w:pPr>
            <w:r w:rsidRPr="007F2B20">
              <w:t>2.  Determine image characteristics of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List"/>
            </w:pPr>
            <w:r w:rsidRPr="007F2B20">
              <w:t>2.1. Ensure visual qualities of the radiograph are of a diagnostic standard to minimise the necessity for re-takes.</w:t>
            </w:r>
          </w:p>
          <w:p w:rsidR="00000000" w:rsidP="007F2B20">
            <w:pPr>
              <w:pStyle w:val="List"/>
              <w:rPr>
                <w:lang w:val="en-NZ"/>
              </w:rPr>
            </w:pPr>
            <w:r w:rsidRPr="007F2B20">
              <w:t>2.2. Ensure geometric qua</w:t>
            </w:r>
            <w:r w:rsidRPr="007F2B20">
              <w:t>lities of the radiograph are of a diagnostic standard to minimise the necessity for re-takes.</w:t>
            </w:r>
          </w:p>
        </w:tc>
      </w:tr>
      <w:tr w:rsidTr="007F2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20">
            <w:pPr>
              <w:pStyle w:val="List"/>
              <w:rPr>
                <w:lang w:val="en-NZ"/>
              </w:rPr>
            </w:pPr>
            <w:r w:rsidRPr="007F2B20">
              <w:t>3.  Minimise radiation by maintaining quality in processing.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20" w:rsidP="007F2B20">
            <w:pPr>
              <w:pStyle w:val="List"/>
            </w:pPr>
            <w:r w:rsidRPr="007F2B20">
              <w:t>3.1. Ensure correct positioning of the radiation receptor.</w:t>
            </w:r>
          </w:p>
          <w:p w:rsidR="00000000" w:rsidRPr="007F2B20" w:rsidP="007F2B20">
            <w:pPr>
              <w:pStyle w:val="List"/>
            </w:pPr>
            <w:r w:rsidRPr="007F2B20">
              <w:t>3.2. Follow procedures for processing dental radiographic images to produce images of diagnostic standard.</w:t>
            </w:r>
          </w:p>
          <w:p w:rsidR="00000000" w:rsidRPr="007F2B20" w:rsidP="007F2B20">
            <w:pPr>
              <w:pStyle w:val="List"/>
            </w:pPr>
            <w:r w:rsidRPr="007F2B20">
              <w:t>3.3. Identify processing errors and implement corrective measures to produce a diagnostic radiograph.</w:t>
            </w:r>
          </w:p>
          <w:p w:rsidR="00000000" w:rsidRPr="007F2B20" w:rsidP="007F2B20">
            <w:pPr>
              <w:pStyle w:val="List"/>
            </w:pPr>
            <w:r w:rsidRPr="007F2B20">
              <w:t>3.4. Follow quality assurance and maintenance p</w:t>
            </w:r>
            <w:r w:rsidRPr="007F2B20">
              <w:t>rocesses of all radiographic equipment in accordance with manufacturers’ instructions.</w:t>
            </w:r>
          </w:p>
        </w:tc>
      </w:tr>
    </w:tbl>
    <w:p w:rsidR="00000000" w:rsidRPr="007F2B20" w:rsidP="007F2B20">
      <w:pPr>
        <w:pStyle w:val="BodyText"/>
      </w:pPr>
    </w:p>
    <w:p w:rsidR="00000000" w:rsidRPr="007F2B20" w:rsidP="007F2B20">
      <w:pPr>
        <w:pStyle w:val="AllowPageBreak"/>
      </w:pPr>
    </w:p>
    <w:p w:rsidR="00000000" w:rsidRPr="007F2B20" w:rsidP="007F2B20">
      <w:pPr>
        <w:pStyle w:val="Heading1"/>
      </w:pPr>
      <w:bookmarkStart w:id="7" w:name="O_1200985"/>
      <w:bookmarkEnd w:id="7"/>
      <w:r w:rsidRPr="007F2B20">
        <w:t>Foundation Skills</w:t>
      </w:r>
    </w:p>
    <w:p w:rsidR="00000000" w:rsidRPr="007F2B20" w:rsidP="00B3774A">
      <w:pPr>
        <w:pStyle w:val="BodyText"/>
      </w:pPr>
      <w:r w:rsidRPr="007F2B20">
        <w:t>Foundation skills essential to performance are explicit in the performance criteria of this unit of competency.</w:t>
      </w:r>
    </w:p>
    <w:p w:rsidR="00000000" w:rsidRPr="007F2B20" w:rsidP="007F2B20">
      <w:pPr>
        <w:pStyle w:val="Heading1"/>
      </w:pPr>
      <w:bookmarkStart w:id="8" w:name="O_1200984"/>
      <w:bookmarkEnd w:id="8"/>
      <w:r w:rsidRPr="007F2B20">
        <w:t>Unit Mapping Information</w:t>
      </w:r>
    </w:p>
    <w:p w:rsidR="00000000" w:rsidRPr="007F2B20" w:rsidP="00B3774A">
      <w:pPr>
        <w:pStyle w:val="BodyText"/>
      </w:pPr>
      <w:r w:rsidRPr="007F2B20">
        <w:t>HLTDEN021 Apply the principles of radiation biology and protection in dental practice supersedes and is equivalent to HLTDEN007 Apply the principles of radiation biology and protection in dental practice.</w:t>
      </w:r>
    </w:p>
    <w:p w:rsidR="00000000" w:rsidRPr="007F2B20" w:rsidP="007F2B20">
      <w:pPr>
        <w:pStyle w:val="Heading1"/>
      </w:pPr>
      <w:bookmarkStart w:id="9" w:name="O_1200992"/>
      <w:bookmarkEnd w:id="9"/>
      <w:r w:rsidRPr="007F2B20">
        <w:t>Links</w:t>
      </w:r>
    </w:p>
    <w:p w:rsidR="00000000" w:rsidRPr="007F2B20" w:rsidP="00B3774A">
      <w:pPr>
        <w:pStyle w:val="BodyText"/>
      </w:pPr>
      <w:r w:rsidRPr="007F2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72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2B20" w:rsidP="007F2B20"/>
    <w:sectPr w:rsidSect="007F2B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20" w:rsidRPr="00B3774A" w:rsidP="00B37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4A" w:rsidP="007F2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74A" w:rsidP="007F2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774A" w:rsidP="007F2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B20" w:rsidRPr="00B3774A" w:rsidP="00B37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4A" w:rsidRPr="002D2AF8" w:rsidP="007F2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HLTDEN021 Apply the principles of radiation biology and protection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3774A" w:rsidP="007F2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B20"/>
  </w:style>
  <w:style w:type="character" w:customStyle="1" w:styleId="Heading1Char">
    <w:name w:val="Heading 1 Char"/>
    <w:basedOn w:val="DefaultParagraphFont"/>
    <w:link w:val="Heading1"/>
    <w:rsid w:val="007F2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B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B2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F2B20"/>
    <w:rPr>
      <w:b/>
      <w:spacing w:val="0"/>
    </w:rPr>
  </w:style>
  <w:style w:type="character" w:styleId="Emphasis">
    <w:name w:val="Emphasis"/>
    <w:basedOn w:val="DefaultParagraphFont"/>
    <w:qFormat/>
    <w:rsid w:val="007F2B20"/>
    <w:rPr>
      <w:i/>
    </w:rPr>
  </w:style>
  <w:style w:type="paragraph" w:customStyle="1" w:styleId="SuperHeading">
    <w:name w:val="SuperHeading"/>
    <w:basedOn w:val="Normal"/>
    <w:rsid w:val="007F2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B2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2B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B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B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B20"/>
  </w:style>
  <w:style w:type="paragraph" w:styleId="TableofFigures">
    <w:name w:val="table of figures"/>
    <w:basedOn w:val="Normal"/>
    <w:next w:val="Normal"/>
    <w:semiHidden/>
    <w:rsid w:val="007F2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B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2B20"/>
    <w:rPr>
      <w:rFonts w:ascii="Wingdings" w:hAnsi="Wingdings"/>
    </w:rPr>
  </w:style>
  <w:style w:type="paragraph" w:customStyle="1" w:styleId="TableHeading">
    <w:name w:val="Table Heading"/>
    <w:basedOn w:val="HeadingBase"/>
    <w:rsid w:val="007F2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B20"/>
    <w:rPr>
      <w:color w:val="0033CC"/>
      <w:u w:val="none"/>
    </w:rPr>
  </w:style>
  <w:style w:type="paragraph" w:customStyle="1" w:styleId="BodyTextRight">
    <w:name w:val="Body Text Right"/>
    <w:basedOn w:val="BodyText"/>
    <w:rsid w:val="007F2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B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B20"/>
    <w:rPr>
      <w:sz w:val="32"/>
    </w:rPr>
  </w:style>
  <w:style w:type="paragraph" w:customStyle="1" w:styleId="HeadingProcedure">
    <w:name w:val="Heading Procedure"/>
    <w:basedOn w:val="HeadingBase"/>
    <w:next w:val="Normal"/>
    <w:rsid w:val="007F2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B20"/>
    <w:pPr>
      <w:spacing w:before="60" w:after="60"/>
    </w:pPr>
  </w:style>
  <w:style w:type="paragraph" w:styleId="ListContinue">
    <w:name w:val="List Continue"/>
    <w:basedOn w:val="List"/>
    <w:rsid w:val="007F2B20"/>
    <w:pPr>
      <w:ind w:firstLine="0"/>
    </w:pPr>
  </w:style>
  <w:style w:type="paragraph" w:customStyle="1" w:styleId="ListNote">
    <w:name w:val="List Note"/>
    <w:basedOn w:val="List"/>
    <w:rsid w:val="007F2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B20"/>
    <w:rPr>
      <w:rFonts w:ascii="Courier New" w:hAnsi="Courier New"/>
    </w:rPr>
  </w:style>
  <w:style w:type="paragraph" w:customStyle="1" w:styleId="NoteBullet">
    <w:name w:val="Note Bullet"/>
    <w:basedOn w:val="Note"/>
    <w:rsid w:val="007F2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B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2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B20"/>
    <w:rPr>
      <w:b/>
      <w:smallCaps/>
    </w:rPr>
  </w:style>
  <w:style w:type="paragraph" w:customStyle="1" w:styleId="TableListNumber">
    <w:name w:val="Table List Number"/>
    <w:basedOn w:val="ListNumber"/>
    <w:rsid w:val="007F2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B20"/>
    <w:pPr>
      <w:numPr>
        <w:numId w:val="7"/>
      </w:numPr>
    </w:pPr>
  </w:style>
  <w:style w:type="paragraph" w:customStyle="1" w:styleId="ListAlpha2">
    <w:name w:val="List Alpha 2"/>
    <w:basedOn w:val="List2"/>
    <w:rsid w:val="007F2B20"/>
    <w:pPr>
      <w:numPr>
        <w:numId w:val="6"/>
      </w:numPr>
    </w:pPr>
  </w:style>
  <w:style w:type="paragraph" w:styleId="List2">
    <w:name w:val="List 2"/>
    <w:basedOn w:val="BodyText"/>
    <w:rsid w:val="007F2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B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B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2B20"/>
    <w:pPr>
      <w:numPr>
        <w:numId w:val="2"/>
      </w:numPr>
    </w:pPr>
  </w:style>
  <w:style w:type="paragraph" w:styleId="ListContinue2">
    <w:name w:val="List Continue 2"/>
    <w:basedOn w:val="List2"/>
    <w:rsid w:val="007F2B20"/>
    <w:pPr>
      <w:ind w:firstLine="0"/>
    </w:pPr>
  </w:style>
  <w:style w:type="paragraph" w:styleId="ListContinue3">
    <w:name w:val="List Continue 3"/>
    <w:basedOn w:val="List3"/>
    <w:rsid w:val="007F2B20"/>
    <w:pPr>
      <w:ind w:left="1021" w:firstLine="0"/>
    </w:pPr>
  </w:style>
  <w:style w:type="paragraph" w:styleId="ListContinue4">
    <w:name w:val="List Continue 4"/>
    <w:basedOn w:val="List4"/>
    <w:rsid w:val="007F2B20"/>
    <w:pPr>
      <w:ind w:firstLine="0"/>
    </w:pPr>
  </w:style>
  <w:style w:type="paragraph" w:styleId="ListContinue5">
    <w:name w:val="List Continue 5"/>
    <w:basedOn w:val="List5"/>
    <w:rsid w:val="007F2B20"/>
    <w:pPr>
      <w:ind w:firstLine="0"/>
    </w:pPr>
  </w:style>
  <w:style w:type="paragraph" w:styleId="ListNumber3">
    <w:name w:val="List Number 3"/>
    <w:basedOn w:val="List3"/>
    <w:rsid w:val="007F2B20"/>
    <w:pPr>
      <w:numPr>
        <w:numId w:val="3"/>
      </w:numPr>
    </w:pPr>
  </w:style>
  <w:style w:type="paragraph" w:styleId="ListNumber4">
    <w:name w:val="List Number 4"/>
    <w:basedOn w:val="List4"/>
    <w:rsid w:val="007F2B20"/>
    <w:pPr>
      <w:numPr>
        <w:numId w:val="4"/>
      </w:numPr>
    </w:pPr>
  </w:style>
  <w:style w:type="paragraph" w:styleId="ListNumber5">
    <w:name w:val="List Number 5"/>
    <w:basedOn w:val="List5"/>
    <w:rsid w:val="007F2B20"/>
    <w:pPr>
      <w:numPr>
        <w:numId w:val="5"/>
      </w:numPr>
    </w:pPr>
  </w:style>
  <w:style w:type="paragraph" w:styleId="BlockText">
    <w:name w:val="Block Text"/>
    <w:basedOn w:val="Normal"/>
    <w:rsid w:val="007F2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B20"/>
    <w:rPr>
      <w:sz w:val="16"/>
      <w:vertAlign w:val="superscript"/>
    </w:rPr>
  </w:style>
  <w:style w:type="character" w:customStyle="1" w:styleId="Symbols">
    <w:name w:val="Symbols"/>
    <w:basedOn w:val="DefaultParagraphFont"/>
    <w:rsid w:val="007F2B20"/>
    <w:rPr>
      <w:rFonts w:ascii="Symbol" w:hAnsi="Symbol"/>
    </w:rPr>
  </w:style>
  <w:style w:type="character" w:customStyle="1" w:styleId="MenuOptions">
    <w:name w:val="Menu Options"/>
    <w:basedOn w:val="DefaultParagraphFont"/>
    <w:rsid w:val="007F2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B20"/>
    <w:rPr>
      <w:b/>
    </w:rPr>
  </w:style>
  <w:style w:type="character" w:customStyle="1" w:styleId="Underlined">
    <w:name w:val="Underlined"/>
    <w:basedOn w:val="DefaultParagraphFont"/>
    <w:rsid w:val="007F2B20"/>
    <w:rPr>
      <w:u w:val="single"/>
    </w:rPr>
  </w:style>
  <w:style w:type="paragraph" w:customStyle="1" w:styleId="TableBodyTextRight">
    <w:name w:val="Table Body Text Right"/>
    <w:basedOn w:val="TableBodyText"/>
    <w:rsid w:val="007F2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B20"/>
    <w:rPr>
      <w:sz w:val="18"/>
    </w:rPr>
  </w:style>
  <w:style w:type="paragraph" w:customStyle="1" w:styleId="BodySmallRight">
    <w:name w:val="Body Small Right"/>
    <w:basedOn w:val="BodyTextRight"/>
    <w:rsid w:val="007F2B20"/>
    <w:rPr>
      <w:sz w:val="18"/>
      <w:szCs w:val="18"/>
    </w:rPr>
  </w:style>
  <w:style w:type="paragraph" w:customStyle="1" w:styleId="MarginEdition">
    <w:name w:val="Margin Edition"/>
    <w:basedOn w:val="MarginNote"/>
    <w:rsid w:val="007F2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B20"/>
    <w:rPr>
      <w:sz w:val="2"/>
      <w:szCs w:val="2"/>
    </w:rPr>
  </w:style>
  <w:style w:type="character" w:customStyle="1" w:styleId="Small">
    <w:name w:val="Small"/>
    <w:basedOn w:val="DefaultParagraphFont"/>
    <w:rsid w:val="007F2B20"/>
    <w:rPr>
      <w:sz w:val="16"/>
    </w:rPr>
  </w:style>
  <w:style w:type="paragraph" w:customStyle="1" w:styleId="WideTable">
    <w:name w:val="Wide Table"/>
    <w:basedOn w:val="Normal"/>
    <w:rsid w:val="007F2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B20"/>
  </w:style>
  <w:style w:type="paragraph" w:styleId="Quote">
    <w:name w:val="Quote"/>
    <w:basedOn w:val="Heading1"/>
    <w:link w:val="QuoteChar"/>
    <w:qFormat/>
    <w:rsid w:val="007F2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B20"/>
    <w:pPr>
      <w:pageBreakBefore/>
    </w:pPr>
  </w:style>
  <w:style w:type="paragraph" w:customStyle="1" w:styleId="Border">
    <w:name w:val="Border"/>
    <w:basedOn w:val="Normal"/>
    <w:qFormat/>
    <w:rsid w:val="007F2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B20"/>
    <w:rPr>
      <w:u w:val="single"/>
    </w:rPr>
  </w:style>
  <w:style w:type="character" w:customStyle="1" w:styleId="BoldandItalics">
    <w:name w:val="Bold and Italics"/>
    <w:qFormat/>
    <w:rsid w:val="007F2B20"/>
    <w:rPr>
      <w:b/>
      <w:i/>
      <w:u w:val="none"/>
    </w:rPr>
  </w:style>
  <w:style w:type="paragraph" w:styleId="BalloonText">
    <w:name w:val="Balloon Text"/>
    <w:basedOn w:val="Normal"/>
    <w:link w:val="BalloonTextChar"/>
    <w:rsid w:val="007F2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B20"/>
    <w:pPr>
      <w:spacing w:before="0" w:after="0"/>
    </w:pPr>
  </w:style>
  <w:style w:type="paragraph" w:customStyle="1" w:styleId="BodyTextBold">
    <w:name w:val="Body Text Bold"/>
    <w:basedOn w:val="BodyText"/>
    <w:qFormat/>
    <w:rsid w:val="007F2B20"/>
    <w:rPr>
      <w:b/>
    </w:rPr>
  </w:style>
  <w:style w:type="character" w:styleId="Hyperlink">
    <w:name w:val="Hyperlink"/>
    <w:basedOn w:val="DefaultParagraphFont"/>
    <w:uiPriority w:val="99"/>
    <w:unhideWhenUsed/>
    <w:rsid w:val="00B37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3335</Characters>
  <Application>Microsoft Office Word</Application>
  <DocSecurity>0</DocSecurity>
  <Lines>107</Lines>
  <Paragraphs>56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HLTDEN021 Apply the principles of radiation biology and protection in dental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