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50F2" w:rsidP="005850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HLTDEN018 Implement an individualised oral hygiene program</w:t>
      </w:r>
      <w:r>
        <w:fldChar w:fldCharType="end"/>
      </w:r>
    </w:p>
    <w:p w:rsidR="005850F2" w:rsidP="005850F2">
      <w:pPr>
        <w:pStyle w:val="Version"/>
        <w:sectPr w:rsidSect="006C6E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C6E7F" w:rsidP="006C6E7F">
      <w:pPr>
        <w:pStyle w:val="SuperHeading"/>
      </w:pPr>
      <w:r w:rsidRPr="006C6E7F">
        <w:t>HLTDEN018 Implement an individualised oral hygiene program</w:t>
      </w:r>
    </w:p>
    <w:p w:rsidR="00000000" w:rsidRPr="006C6E7F" w:rsidP="006C6E7F">
      <w:pPr>
        <w:pStyle w:val="Heading1"/>
      </w:pPr>
      <w:bookmarkStart w:id="1" w:name="O_1200940"/>
      <w:bookmarkEnd w:id="1"/>
      <w:r w:rsidRPr="006C6E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6C6E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C6E7F" w:rsidP="006C6E7F">
            <w:pPr>
              <w:pStyle w:val="BodyText"/>
            </w:pPr>
            <w:r w:rsidRPr="006C6E7F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C6E7F">
            <w:pPr>
              <w:pStyle w:val="BodyText"/>
              <w:rPr>
                <w:lang w:val="en-NZ"/>
              </w:rPr>
            </w:pPr>
            <w:r w:rsidRPr="006C6E7F">
              <w:rPr>
                <w:rStyle w:val="SpecialBold"/>
              </w:rPr>
              <w:t>Comments</w:t>
            </w:r>
          </w:p>
        </w:tc>
      </w:tr>
      <w:tr w:rsidTr="006C6E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7F">
            <w:pPr>
              <w:pStyle w:val="BodyText"/>
              <w:rPr>
                <w:lang w:val="en-NZ"/>
              </w:rPr>
            </w:pPr>
            <w:r w:rsidRPr="006C6E7F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E7F" w:rsidP="006C6E7F">
            <w:pPr>
              <w:pStyle w:val="BodyText"/>
            </w:pPr>
            <w:r w:rsidRPr="006C6E7F">
              <w:t>Release 2 HLTDEN018 Implement an individualised oral hygiene program supersedes and is equivalent to Release 1 HLTDEN018 Implement an individualised oral hygiene program.</w:t>
            </w:r>
          </w:p>
          <w:p w:rsidR="00000000" w:rsidRPr="006C6E7F" w:rsidP="006C6E7F">
            <w:pPr>
              <w:pStyle w:val="BodyText"/>
            </w:pPr>
            <w:r w:rsidRPr="006C6E7F">
              <w:t>Updated:</w:t>
            </w:r>
          </w:p>
          <w:p w:rsidR="00000000" w:rsidP="006C6E7F">
            <w:pPr>
              <w:pStyle w:val="BodyText"/>
              <w:rPr>
                <w:lang w:val="en-NZ"/>
              </w:rPr>
            </w:pPr>
            <w:r w:rsidRPr="006C6E7F">
              <w:t>Mapping d</w:t>
            </w:r>
            <w:r w:rsidRPr="006C6E7F">
              <w:t>etails and minor corrections.</w:t>
            </w:r>
          </w:p>
        </w:tc>
      </w:tr>
      <w:tr w:rsidTr="006C6E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7F">
            <w:pPr>
              <w:pStyle w:val="BodyText"/>
              <w:rPr>
                <w:lang w:val="en-NZ"/>
              </w:rPr>
            </w:pPr>
            <w:r w:rsidRPr="006C6E7F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E7F" w:rsidP="006C6E7F">
            <w:pPr>
              <w:pStyle w:val="BodyText"/>
            </w:pPr>
            <w:r w:rsidRPr="006C6E7F">
              <w:t>HLTDEN018 Implement an individualised oral hygiene program supersedes and is not equivalent to HLTDEN004 Implement an individualised oral hygiene program.</w:t>
            </w:r>
          </w:p>
        </w:tc>
      </w:tr>
    </w:tbl>
    <w:p w:rsidR="00000000" w:rsidRPr="006C6E7F" w:rsidP="006C6E7F">
      <w:pPr>
        <w:pStyle w:val="BodyText"/>
      </w:pPr>
    </w:p>
    <w:p w:rsidR="00000000" w:rsidRPr="006C6E7F" w:rsidP="006C6E7F">
      <w:pPr>
        <w:pStyle w:val="AllowPageBreak"/>
      </w:pPr>
    </w:p>
    <w:p w:rsidR="00000000" w:rsidRPr="006C6E7F" w:rsidP="006C6E7F">
      <w:pPr>
        <w:pStyle w:val="Heading1"/>
      </w:pPr>
      <w:bookmarkStart w:id="2" w:name="O_1200939"/>
      <w:bookmarkEnd w:id="2"/>
      <w:r w:rsidRPr="006C6E7F">
        <w:t>Application</w:t>
      </w:r>
    </w:p>
    <w:p w:rsidR="00000000" w:rsidRPr="006C6E7F" w:rsidP="005850F2">
      <w:pPr>
        <w:pStyle w:val="BodyText"/>
      </w:pPr>
      <w:r w:rsidRPr="006C6E7F">
        <w:t>This unit of competency describes the performance outcomes, skills and knowledge required to implement an individualised oral hygiene program and promote oral health.</w:t>
      </w:r>
    </w:p>
    <w:p w:rsidR="00000000" w:rsidRPr="006C6E7F" w:rsidP="005850F2">
      <w:pPr>
        <w:pStyle w:val="BodyText"/>
      </w:pPr>
      <w:r w:rsidRPr="006C6E7F">
        <w:t xml:space="preserve">This unit applies to dental assistants and to other health care workers who are actively </w:t>
      </w:r>
      <w:r w:rsidRPr="006C6E7F">
        <w:t>involved in promoting the general well-being of patients through promotion of healthy eating habits and good oral health.</w:t>
      </w:r>
    </w:p>
    <w:p w:rsidR="00000000" w:rsidRPr="006C6E7F" w:rsidP="005850F2">
      <w:pPr>
        <w:pStyle w:val="BodyText"/>
      </w:pPr>
      <w:r w:rsidRPr="006C6E7F">
        <w:t>The skills in this unit must be applied in accordance with Commonwealth and State/Territory legislation, Australian standards and indu</w:t>
      </w:r>
      <w:r w:rsidRPr="006C6E7F">
        <w:t>stry codes of practice.</w:t>
      </w:r>
    </w:p>
    <w:p w:rsidR="00000000" w:rsidRPr="006C6E7F" w:rsidP="005850F2">
      <w:pPr>
        <w:pStyle w:val="BodyText"/>
      </w:pPr>
      <w:r w:rsidRPr="006C6E7F">
        <w:t>No occupational licensing, certification or specific legislative requirements apply to this unit at the time of publication.</w:t>
      </w:r>
    </w:p>
    <w:p w:rsidR="00000000" w:rsidRPr="006C6E7F" w:rsidP="006C6E7F">
      <w:pPr>
        <w:pStyle w:val="Heading1"/>
      </w:pPr>
      <w:bookmarkStart w:id="3" w:name="O_1200938"/>
      <w:bookmarkEnd w:id="3"/>
      <w:r w:rsidRPr="006C6E7F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38"/>
        <w:gridCol w:w="6575"/>
      </w:tblGrid>
      <w:tr w:rsidTr="006C6E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6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C6E7F" w:rsidP="006C6E7F">
            <w:pPr>
              <w:pStyle w:val="BodyText"/>
            </w:pPr>
            <w:r w:rsidRPr="006C6E7F">
              <w:rPr>
                <w:rStyle w:val="SpecialBold"/>
              </w:rPr>
              <w:t>Unit code</w:t>
            </w:r>
          </w:p>
        </w:tc>
        <w:tc>
          <w:tcPr>
            <w:tcW w:w="6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C6E7F">
            <w:pPr>
              <w:pStyle w:val="BodyText"/>
              <w:rPr>
                <w:lang w:val="en-NZ"/>
              </w:rPr>
            </w:pPr>
            <w:r w:rsidRPr="006C6E7F">
              <w:rPr>
                <w:rStyle w:val="SpecialBold"/>
              </w:rPr>
              <w:t>Unit title</w:t>
            </w:r>
          </w:p>
        </w:tc>
      </w:tr>
      <w:tr w:rsidTr="006C6E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4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C6E7F">
            <w:pPr>
              <w:pStyle w:val="BodyText"/>
              <w:rPr>
                <w:lang w:val="en-NZ"/>
              </w:rPr>
            </w:pPr>
            <w:r w:rsidRPr="006C6E7F">
              <w:t>HLTDA303D</w:t>
            </w:r>
          </w:p>
        </w:tc>
        <w:tc>
          <w:tcPr>
            <w:tcW w:w="6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C6E7F">
            <w:pPr>
              <w:pStyle w:val="BodyText"/>
              <w:rPr>
                <w:lang w:val="en-NZ"/>
              </w:rPr>
            </w:pPr>
            <w:r w:rsidRPr="006C6E7F">
              <w:t>Prepare for and assist with oral heal</w:t>
            </w:r>
            <w:r w:rsidRPr="006C6E7F">
              <w:t xml:space="preserve">th care procedures </w:t>
            </w:r>
            <w:r w:rsidRPr="006C6E7F">
              <w:rPr>
                <w:rStyle w:val="Emphasis"/>
              </w:rPr>
              <w:t>or</w:t>
            </w:r>
          </w:p>
        </w:tc>
      </w:tr>
      <w:tr w:rsidTr="006C6E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4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C6E7F">
            <w:pPr>
              <w:pStyle w:val="BodyText"/>
              <w:rPr>
                <w:lang w:val="en-NZ"/>
              </w:rPr>
            </w:pPr>
            <w:r w:rsidRPr="006C6E7F">
              <w:t>HLTDEN001</w:t>
            </w:r>
          </w:p>
        </w:tc>
        <w:tc>
          <w:tcPr>
            <w:tcW w:w="6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C6E7F">
            <w:pPr>
              <w:pStyle w:val="BodyText"/>
              <w:rPr>
                <w:lang w:val="en-NZ"/>
              </w:rPr>
            </w:pPr>
            <w:r w:rsidRPr="006C6E7F">
              <w:t>Prepare for and assist with oral health care procedures</w:t>
            </w:r>
            <w:r w:rsidRPr="006C6E7F">
              <w:rPr>
                <w:rStyle w:val="Emphasis"/>
              </w:rPr>
              <w:t xml:space="preserve"> or</w:t>
            </w:r>
          </w:p>
        </w:tc>
      </w:tr>
      <w:tr w:rsidTr="006C6E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4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C6E7F">
            <w:pPr>
              <w:pStyle w:val="BodyText"/>
              <w:rPr>
                <w:lang w:val="en-NZ"/>
              </w:rPr>
            </w:pPr>
            <w:r w:rsidRPr="006C6E7F">
              <w:t>HLTDEN015</w:t>
            </w:r>
          </w:p>
        </w:tc>
        <w:tc>
          <w:tcPr>
            <w:tcW w:w="6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C6E7F" w:rsidP="006C6E7F">
            <w:pPr>
              <w:pStyle w:val="BodyText"/>
            </w:pPr>
            <w:r w:rsidRPr="006C6E7F">
              <w:t>Prepare for and assist with dental procedures</w:t>
            </w:r>
          </w:p>
        </w:tc>
      </w:tr>
    </w:tbl>
    <w:p w:rsidR="00000000" w:rsidRPr="006C6E7F" w:rsidP="006C6E7F">
      <w:pPr>
        <w:pStyle w:val="BodyText"/>
      </w:pPr>
    </w:p>
    <w:p w:rsidR="00000000" w:rsidRPr="006C6E7F" w:rsidP="006C6E7F">
      <w:pPr>
        <w:pStyle w:val="AllowPageBreak"/>
      </w:pPr>
    </w:p>
    <w:p w:rsidR="00000000" w:rsidRPr="006C6E7F" w:rsidP="006C6E7F">
      <w:pPr>
        <w:pStyle w:val="Heading1"/>
      </w:pPr>
      <w:bookmarkStart w:id="4" w:name="O_1200937"/>
      <w:bookmarkEnd w:id="4"/>
      <w:r w:rsidRPr="006C6E7F">
        <w:t>Competency Field</w:t>
      </w:r>
    </w:p>
    <w:p w:rsidR="00000000" w:rsidRPr="006C6E7F" w:rsidP="005850F2">
      <w:pPr>
        <w:pStyle w:val="BodyText"/>
      </w:pPr>
      <w:r w:rsidRPr="006C6E7F">
        <w:t>Dental Assisting</w:t>
      </w:r>
    </w:p>
    <w:p w:rsidR="00000000" w:rsidRPr="006C6E7F" w:rsidP="006C6E7F">
      <w:pPr>
        <w:pStyle w:val="Heading1"/>
      </w:pPr>
      <w:bookmarkStart w:id="5" w:name="O_1200936"/>
      <w:bookmarkEnd w:id="5"/>
      <w:r w:rsidRPr="006C6E7F">
        <w:t>Unit Sector</w:t>
      </w:r>
    </w:p>
    <w:p w:rsidR="00000000" w:rsidRPr="006C6E7F" w:rsidP="005850F2">
      <w:pPr>
        <w:pStyle w:val="BodyText"/>
      </w:pPr>
      <w:r w:rsidRPr="006C6E7F">
        <w:t xml:space="preserve">Dental </w:t>
      </w:r>
    </w:p>
    <w:p w:rsidR="00000000" w:rsidRPr="006C6E7F" w:rsidP="006C6E7F">
      <w:pPr>
        <w:pStyle w:val="Heading1"/>
      </w:pPr>
      <w:bookmarkStart w:id="6" w:name="O_1200935"/>
      <w:bookmarkEnd w:id="6"/>
      <w:r w:rsidRPr="006C6E7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C6E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E7F" w:rsidP="006C6E7F">
            <w:pPr>
              <w:pStyle w:val="BodyText"/>
            </w:pPr>
            <w:r w:rsidRPr="006C6E7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7F">
            <w:pPr>
              <w:pStyle w:val="BodyText"/>
              <w:rPr>
                <w:lang w:val="en-NZ"/>
              </w:rPr>
            </w:pPr>
            <w:r w:rsidRPr="006C6E7F">
              <w:rPr>
                <w:rStyle w:val="SpecialBold"/>
              </w:rPr>
              <w:t>PERFORMANCE</w:t>
            </w:r>
            <w:r w:rsidRPr="006C6E7F">
              <w:t xml:space="preserve"> </w:t>
            </w:r>
            <w:r w:rsidRPr="006C6E7F">
              <w:rPr>
                <w:rStyle w:val="SpecialBold"/>
              </w:rPr>
              <w:t>CRITERIA</w:t>
            </w:r>
          </w:p>
        </w:tc>
      </w:tr>
      <w:tr w:rsidTr="006C6E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E7F" w:rsidP="006C6E7F">
            <w:pPr>
              <w:pStyle w:val="BodyText"/>
            </w:pPr>
            <w:r w:rsidRPr="006C6E7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7F">
            <w:pPr>
              <w:pStyle w:val="BodyText"/>
              <w:rPr>
                <w:lang w:val="en-NZ"/>
              </w:rPr>
            </w:pPr>
            <w:r w:rsidRPr="006C6E7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C6E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7F">
            <w:pPr>
              <w:pStyle w:val="List"/>
              <w:rPr>
                <w:lang w:val="en-NZ"/>
              </w:rPr>
            </w:pPr>
            <w:r w:rsidRPr="006C6E7F">
              <w:t>1.  Implement a prescribed oral health education program.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E7F" w:rsidP="006C6E7F">
            <w:pPr>
              <w:pStyle w:val="List"/>
            </w:pPr>
            <w:r w:rsidRPr="006C6E7F">
              <w:t>1.1. Follow a prescribed oral health education program.</w:t>
            </w:r>
          </w:p>
          <w:p w:rsidR="00000000" w:rsidRPr="006C6E7F" w:rsidP="006C6E7F">
            <w:pPr>
              <w:pStyle w:val="List"/>
            </w:pPr>
            <w:r w:rsidRPr="006C6E7F">
              <w:t>1.2. Review patient’s current oral hygiene routines.</w:t>
            </w:r>
          </w:p>
          <w:p w:rsidR="00000000" w:rsidRPr="006C6E7F" w:rsidP="006C6E7F">
            <w:pPr>
              <w:pStyle w:val="List"/>
            </w:pPr>
            <w:r w:rsidRPr="006C6E7F">
              <w:t>1.3. Provide detailed information on the causes and prevention of oral diseases to patien</w:t>
            </w:r>
            <w:r w:rsidRPr="006C6E7F">
              <w:t>t or carer using language that can be easily understood.</w:t>
            </w:r>
          </w:p>
          <w:p w:rsidR="00000000" w:rsidRPr="006C6E7F" w:rsidP="006C6E7F">
            <w:pPr>
              <w:pStyle w:val="List"/>
            </w:pPr>
            <w:r w:rsidRPr="006C6E7F">
              <w:t>1.4. Provide an environment for patient or carer to ask questions and become involved in improving their oral health.</w:t>
            </w:r>
          </w:p>
          <w:p w:rsidR="00000000" w:rsidRPr="006C6E7F" w:rsidP="006C6E7F">
            <w:pPr>
              <w:pStyle w:val="List"/>
            </w:pPr>
            <w:r w:rsidRPr="006C6E7F">
              <w:t>1.5. Actively encourage patient or carer to follow an effective individual oral h</w:t>
            </w:r>
            <w:r w:rsidRPr="006C6E7F">
              <w:t>ealth program.</w:t>
            </w:r>
          </w:p>
          <w:p w:rsidR="00000000" w:rsidP="006C6E7F">
            <w:pPr>
              <w:pStyle w:val="List"/>
              <w:rPr>
                <w:lang w:val="en-NZ"/>
              </w:rPr>
            </w:pPr>
            <w:r w:rsidRPr="006C6E7F">
              <w:t>1.6. Implement a review strategy to determine the effectiveness of the oral health education program.</w:t>
            </w:r>
          </w:p>
        </w:tc>
      </w:tr>
      <w:tr w:rsidTr="006C6E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7F">
            <w:pPr>
              <w:pStyle w:val="List"/>
              <w:rPr>
                <w:lang w:val="en-NZ"/>
              </w:rPr>
            </w:pPr>
            <w:r w:rsidRPr="006C6E7F">
              <w:t>2.  Demonstrate oral hygiene techniques to patient or carer.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E7F" w:rsidP="006C6E7F">
            <w:pPr>
              <w:pStyle w:val="List"/>
            </w:pPr>
            <w:r w:rsidRPr="006C6E7F">
              <w:t>2.1. Use a plaque index system to accurately record scores and interpret findings.</w:t>
            </w:r>
          </w:p>
          <w:p w:rsidR="00000000" w:rsidRPr="006C6E7F" w:rsidP="006C6E7F">
            <w:pPr>
              <w:pStyle w:val="List"/>
            </w:pPr>
            <w:r w:rsidRPr="006C6E7F">
              <w:t>2.2. Demonstrate oral hygiene techniques specific to patient needs.</w:t>
            </w:r>
          </w:p>
          <w:p w:rsidR="00000000" w:rsidRPr="006C6E7F" w:rsidP="006C6E7F">
            <w:pPr>
              <w:pStyle w:val="List"/>
            </w:pPr>
            <w:r w:rsidRPr="006C6E7F">
              <w:t>2.3. Provide information about the advantages of different oral hygiene techniques and involve patient or</w:t>
            </w:r>
            <w:r w:rsidRPr="006C6E7F">
              <w:t xml:space="preserve"> carer in the decision-making process.</w:t>
            </w:r>
          </w:p>
          <w:p w:rsidR="00000000" w:rsidRPr="006C6E7F" w:rsidP="006C6E7F">
            <w:pPr>
              <w:pStyle w:val="List"/>
            </w:pPr>
            <w:r w:rsidRPr="006C6E7F">
              <w:t>2.4. Assist patient or carer in implementing relevant oral hygiene techniques.</w:t>
            </w:r>
          </w:p>
          <w:p w:rsidR="00000000" w:rsidRPr="006C6E7F" w:rsidP="006C6E7F">
            <w:pPr>
              <w:pStyle w:val="List"/>
            </w:pPr>
            <w:r w:rsidRPr="006C6E7F">
              <w:t>2.5. Demonstrate how to use aids specific to patient needs to achieve and maintain effective oral hygiene.</w:t>
            </w:r>
          </w:p>
          <w:p w:rsidR="00000000" w:rsidRPr="006C6E7F" w:rsidP="006C6E7F">
            <w:pPr>
              <w:pStyle w:val="List"/>
            </w:pPr>
            <w:r w:rsidRPr="006C6E7F">
              <w:t xml:space="preserve">2.6. Evaluate patient or carer </w:t>
            </w:r>
            <w:r w:rsidRPr="006C6E7F">
              <w:t>oral hygiene techniques and provide further instruction when appropriate.</w:t>
            </w:r>
          </w:p>
          <w:p w:rsidR="00000000" w:rsidP="006C6E7F">
            <w:pPr>
              <w:pStyle w:val="List"/>
              <w:rPr>
                <w:lang w:val="en-NZ"/>
              </w:rPr>
            </w:pPr>
            <w:r w:rsidRPr="006C6E7F">
              <w:t>2.7. Provide information appropriately on the effectiveness and availability of fluoride as directed by the practitioner.</w:t>
            </w:r>
          </w:p>
        </w:tc>
      </w:tr>
      <w:tr w:rsidTr="006C6E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E7F" w:rsidP="006C6E7F">
            <w:pPr>
              <w:pStyle w:val="List"/>
            </w:pPr>
            <w:r w:rsidRPr="006C6E7F">
              <w:t>3.  Provide appropriate advice on cariogenic food and drink</w:t>
            </w:r>
            <w:r w:rsidRPr="006C6E7F">
              <w:t>s.</w:t>
            </w:r>
          </w:p>
          <w:p w:rsidR="00000000" w:rsidP="006C6E7F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E7F" w:rsidP="006C6E7F">
            <w:pPr>
              <w:pStyle w:val="List"/>
            </w:pPr>
            <w:r w:rsidRPr="006C6E7F">
              <w:t>3.1. Involve patient or carer in a review of current dietary habits.</w:t>
            </w:r>
          </w:p>
          <w:p w:rsidR="00000000" w:rsidRPr="006C6E7F" w:rsidP="006C6E7F">
            <w:pPr>
              <w:pStyle w:val="List"/>
            </w:pPr>
            <w:r w:rsidRPr="006C6E7F">
              <w:t xml:space="preserve">3.2. Develop and give patient or carer appropriate information on acids and fermentable carbohydrates and confirm </w:t>
            </w:r>
            <w:r w:rsidRPr="006C6E7F">
              <w:t>understanding.</w:t>
            </w:r>
          </w:p>
          <w:p w:rsidR="00000000" w:rsidP="006C6E7F">
            <w:pPr>
              <w:pStyle w:val="List"/>
              <w:rPr>
                <w:lang w:val="en-NZ"/>
              </w:rPr>
            </w:pPr>
            <w:r w:rsidRPr="006C6E7F">
              <w:t>3.3. Actively encourage patient or carer to ask questi</w:t>
            </w:r>
            <w:r w:rsidRPr="006C6E7F">
              <w:t>ons or express views.</w:t>
            </w:r>
          </w:p>
        </w:tc>
      </w:tr>
      <w:tr w:rsidTr="006C6E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7F">
            <w:pPr>
              <w:pStyle w:val="List"/>
              <w:rPr>
                <w:lang w:val="en-NZ"/>
              </w:rPr>
            </w:pPr>
            <w:r w:rsidRPr="006C6E7F">
              <w:t>4.  Perform a saliva diagnostic test and record the results.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E7F" w:rsidP="006C6E7F">
            <w:pPr>
              <w:pStyle w:val="List"/>
            </w:pPr>
            <w:r w:rsidRPr="006C6E7F">
              <w:t>4.1. Provide full details of procedure to patient or carer.</w:t>
            </w:r>
          </w:p>
          <w:p w:rsidR="00000000" w:rsidRPr="006C6E7F" w:rsidP="006C6E7F">
            <w:pPr>
              <w:pStyle w:val="List"/>
            </w:pPr>
            <w:r w:rsidRPr="006C6E7F">
              <w:t>4.2. Provide specific instructions to patient or carer before the appointment where a saliva diagnostic test is planned.</w:t>
            </w:r>
          </w:p>
          <w:p w:rsidR="00000000" w:rsidRPr="006C6E7F" w:rsidP="006C6E7F">
            <w:pPr>
              <w:pStyle w:val="List"/>
            </w:pPr>
            <w:r w:rsidRPr="006C6E7F">
              <w:t>4.3. Select and prepare appropriate materials for a saliva diagnostic test.</w:t>
            </w:r>
          </w:p>
          <w:p w:rsidR="00000000" w:rsidRPr="006C6E7F" w:rsidP="006C6E7F">
            <w:pPr>
              <w:pStyle w:val="List"/>
            </w:pPr>
            <w:r w:rsidRPr="006C6E7F">
              <w:t>4.4. Perform a resting or unstimulated saliva test and reco</w:t>
            </w:r>
            <w:r w:rsidRPr="006C6E7F">
              <w:t>rd the result in accordance with manufacturers’ instructions.</w:t>
            </w:r>
          </w:p>
          <w:p w:rsidR="00000000" w:rsidP="006C6E7F">
            <w:pPr>
              <w:pStyle w:val="List"/>
              <w:rPr>
                <w:lang w:val="en-NZ"/>
              </w:rPr>
            </w:pPr>
            <w:r w:rsidRPr="006C6E7F">
              <w:t>4.5. Perform a stimulated saliva test and record the result in accordance with manufacturers’ instructions.</w:t>
            </w:r>
          </w:p>
        </w:tc>
      </w:tr>
      <w:tr w:rsidTr="006C6E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7F">
            <w:pPr>
              <w:pStyle w:val="List"/>
              <w:rPr>
                <w:lang w:val="en-NZ"/>
              </w:rPr>
            </w:pPr>
            <w:r w:rsidRPr="006C6E7F">
              <w:t>5.  Implement a prescribed prevention program to suit an individual patient.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E7F" w:rsidP="006C6E7F">
            <w:pPr>
              <w:pStyle w:val="List"/>
            </w:pPr>
            <w:r w:rsidRPr="006C6E7F">
              <w:t>5.1. Pro</w:t>
            </w:r>
            <w:r w:rsidRPr="006C6E7F">
              <w:t>vide information as directed by the practitioner, on lifestyle change to assist with diminished salivary flow.</w:t>
            </w:r>
          </w:p>
          <w:p w:rsidR="00000000" w:rsidRPr="006C6E7F" w:rsidP="006C6E7F">
            <w:pPr>
              <w:pStyle w:val="List"/>
            </w:pPr>
            <w:r w:rsidRPr="006C6E7F">
              <w:t>5.2. Provide information on materials that can provide additional external protection to the teeth.</w:t>
            </w:r>
          </w:p>
          <w:p w:rsidR="00000000" w:rsidRPr="006C6E7F" w:rsidP="006C6E7F">
            <w:pPr>
              <w:pStyle w:val="List"/>
            </w:pPr>
            <w:r w:rsidRPr="006C6E7F">
              <w:t>5.3. Explain methods to increase salivary sti</w:t>
            </w:r>
            <w:r w:rsidRPr="006C6E7F">
              <w:t>mulation as directed by the practitioner.</w:t>
            </w:r>
          </w:p>
          <w:p w:rsidR="00000000" w:rsidRPr="006C6E7F" w:rsidP="006C6E7F">
            <w:pPr>
              <w:pStyle w:val="List"/>
            </w:pPr>
            <w:r w:rsidRPr="006C6E7F">
              <w:t>5.4. Assist patient or carers to implement prescribed oral hygiene programs in response to saliva quality and composition.</w:t>
            </w:r>
          </w:p>
        </w:tc>
      </w:tr>
    </w:tbl>
    <w:p w:rsidR="00000000" w:rsidRPr="006C6E7F" w:rsidP="006C6E7F">
      <w:pPr>
        <w:pStyle w:val="BodyText"/>
      </w:pPr>
    </w:p>
    <w:p w:rsidR="00000000" w:rsidRPr="006C6E7F" w:rsidP="006C6E7F">
      <w:pPr>
        <w:pStyle w:val="AllowPageBreak"/>
      </w:pPr>
    </w:p>
    <w:p w:rsidR="00000000" w:rsidRPr="006C6E7F" w:rsidP="006C6E7F">
      <w:pPr>
        <w:pStyle w:val="Heading1"/>
      </w:pPr>
      <w:bookmarkStart w:id="7" w:name="O_1200934"/>
      <w:bookmarkEnd w:id="7"/>
      <w:r w:rsidRPr="006C6E7F">
        <w:t>Foundation Skills</w:t>
      </w:r>
    </w:p>
    <w:p w:rsidR="00000000" w:rsidRPr="006C6E7F" w:rsidP="005850F2">
      <w:pPr>
        <w:pStyle w:val="BodyText"/>
      </w:pPr>
      <w:r w:rsidRPr="006C6E7F">
        <w:t>Foundation skills essential to performance are explicit in the performance criteria of this unit of competency.</w:t>
      </w:r>
    </w:p>
    <w:p w:rsidR="00000000" w:rsidRPr="006C6E7F" w:rsidP="006C6E7F">
      <w:pPr>
        <w:pStyle w:val="Heading1"/>
      </w:pPr>
      <w:bookmarkStart w:id="8" w:name="O_1200933"/>
      <w:bookmarkEnd w:id="8"/>
      <w:r w:rsidRPr="006C6E7F">
        <w:t>Unit Mapping Information</w:t>
      </w:r>
    </w:p>
    <w:p w:rsidR="00000000" w:rsidRPr="006C6E7F" w:rsidP="005850F2">
      <w:pPr>
        <w:pStyle w:val="BodyText"/>
      </w:pPr>
      <w:r w:rsidRPr="006C6E7F">
        <w:t>HLTDEN018 Implement an individualised oral hygiene program supersedes and is not equivalent to HLTDE</w:t>
      </w:r>
      <w:r w:rsidRPr="006C6E7F">
        <w:t>N004 Implement an individualised oral hygiene program.</w:t>
      </w:r>
    </w:p>
    <w:p w:rsidR="00000000" w:rsidRPr="006C6E7F" w:rsidP="006C6E7F">
      <w:pPr>
        <w:pStyle w:val="Heading1"/>
      </w:pPr>
      <w:bookmarkStart w:id="9" w:name="O_1200941"/>
      <w:bookmarkEnd w:id="9"/>
      <w:r w:rsidRPr="006C6E7F">
        <w:t>Links</w:t>
      </w:r>
    </w:p>
    <w:p w:rsidR="00000000" w:rsidRPr="006C6E7F" w:rsidP="005850F2">
      <w:pPr>
        <w:pStyle w:val="BodyText"/>
      </w:pPr>
      <w:r w:rsidRPr="006C6E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0F0536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6C6E7F" w:rsidP="006C6E7F"/>
    <w:sectPr w:rsidSect="006C6E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E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E7F" w:rsidRPr="005850F2" w:rsidP="005850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E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0F2" w:rsidP="006C6E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50F2" w:rsidP="006C6E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850F2" w:rsidP="006C6E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E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0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6E7F" w:rsidRPr="005850F2" w:rsidP="005850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E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0F2" w:rsidRPr="002D2AF8" w:rsidP="006C6E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HLTDEN018 Implement an individualised oral hygiene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5850F2" w:rsidP="006C6E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6E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6E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6E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6E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6E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6E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6E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6E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6E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6E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6E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6E7F"/>
  </w:style>
  <w:style w:type="character" w:customStyle="1" w:styleId="Heading1Char">
    <w:name w:val="Heading 1 Char"/>
    <w:basedOn w:val="DefaultParagraphFont"/>
    <w:link w:val="Heading1"/>
    <w:rsid w:val="006C6E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6E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6E7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C6E7F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6C6E7F"/>
    <w:rPr>
      <w:b/>
      <w:spacing w:val="0"/>
    </w:rPr>
  </w:style>
  <w:style w:type="character" w:styleId="Emphasis">
    <w:name w:val="Emphasis"/>
    <w:basedOn w:val="DefaultParagraphFont"/>
    <w:qFormat/>
    <w:rsid w:val="006C6E7F"/>
    <w:rPr>
      <w:i/>
    </w:rPr>
  </w:style>
  <w:style w:type="paragraph" w:customStyle="1" w:styleId="SuperHeading">
    <w:name w:val="SuperHeading"/>
    <w:basedOn w:val="Normal"/>
    <w:rsid w:val="006C6E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6E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6E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6E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6E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6E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6E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6E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6E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6E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6E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6E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6E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6E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6E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6E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6E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6E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6E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6E7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C6E7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C6E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6E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6E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6E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6E7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6E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6E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6E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6E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6E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6E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6E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6E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6E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6E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6E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6E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6E7F"/>
  </w:style>
  <w:style w:type="paragraph" w:styleId="TableofFigures">
    <w:name w:val="table of figures"/>
    <w:basedOn w:val="Normal"/>
    <w:next w:val="Normal"/>
    <w:semiHidden/>
    <w:rsid w:val="006C6E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6E7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C6E7F"/>
    <w:rPr>
      <w:rFonts w:ascii="Wingdings" w:hAnsi="Wingdings"/>
    </w:rPr>
  </w:style>
  <w:style w:type="paragraph" w:customStyle="1" w:styleId="TableHeading">
    <w:name w:val="Table Heading"/>
    <w:basedOn w:val="HeadingBase"/>
    <w:rsid w:val="006C6E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6E7F"/>
    <w:rPr>
      <w:color w:val="0033CC"/>
      <w:u w:val="none"/>
    </w:rPr>
  </w:style>
  <w:style w:type="paragraph" w:customStyle="1" w:styleId="BodyTextRight">
    <w:name w:val="Body Text Right"/>
    <w:basedOn w:val="BodyText"/>
    <w:rsid w:val="006C6E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6E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6E7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6E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6E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6E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6E7F"/>
    <w:rPr>
      <w:sz w:val="32"/>
    </w:rPr>
  </w:style>
  <w:style w:type="paragraph" w:customStyle="1" w:styleId="HeadingProcedure">
    <w:name w:val="Heading Procedure"/>
    <w:basedOn w:val="HeadingBase"/>
    <w:next w:val="Normal"/>
    <w:rsid w:val="006C6E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6E7F"/>
    <w:pPr>
      <w:spacing w:before="60" w:after="60"/>
    </w:pPr>
  </w:style>
  <w:style w:type="paragraph" w:styleId="ListContinue">
    <w:name w:val="List Continue"/>
    <w:basedOn w:val="List"/>
    <w:rsid w:val="006C6E7F"/>
    <w:pPr>
      <w:ind w:firstLine="0"/>
    </w:pPr>
  </w:style>
  <w:style w:type="paragraph" w:customStyle="1" w:styleId="ListNote">
    <w:name w:val="List Note"/>
    <w:basedOn w:val="List"/>
    <w:rsid w:val="006C6E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6E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6E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6E7F"/>
    <w:rPr>
      <w:rFonts w:ascii="Courier New" w:hAnsi="Courier New"/>
    </w:rPr>
  </w:style>
  <w:style w:type="paragraph" w:customStyle="1" w:styleId="NoteBullet">
    <w:name w:val="Note Bullet"/>
    <w:basedOn w:val="Note"/>
    <w:rsid w:val="006C6E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6E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6E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6E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6E7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C6E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6E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6E7F"/>
    <w:rPr>
      <w:b/>
      <w:smallCaps/>
    </w:rPr>
  </w:style>
  <w:style w:type="paragraph" w:customStyle="1" w:styleId="TableListNumber">
    <w:name w:val="Table List Number"/>
    <w:basedOn w:val="ListNumber"/>
    <w:rsid w:val="006C6E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6E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6E7F"/>
    <w:pPr>
      <w:numPr>
        <w:numId w:val="7"/>
      </w:numPr>
    </w:pPr>
  </w:style>
  <w:style w:type="paragraph" w:customStyle="1" w:styleId="ListAlpha2">
    <w:name w:val="List Alpha 2"/>
    <w:basedOn w:val="List2"/>
    <w:rsid w:val="006C6E7F"/>
    <w:pPr>
      <w:numPr>
        <w:numId w:val="6"/>
      </w:numPr>
    </w:pPr>
  </w:style>
  <w:style w:type="paragraph" w:styleId="List2">
    <w:name w:val="List 2"/>
    <w:basedOn w:val="BodyText"/>
    <w:rsid w:val="006C6E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6E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6E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6E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6E7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6E7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C6E7F"/>
    <w:pPr>
      <w:numPr>
        <w:numId w:val="2"/>
      </w:numPr>
    </w:pPr>
  </w:style>
  <w:style w:type="paragraph" w:styleId="ListContinue2">
    <w:name w:val="List Continue 2"/>
    <w:basedOn w:val="List2"/>
    <w:rsid w:val="006C6E7F"/>
    <w:pPr>
      <w:ind w:firstLine="0"/>
    </w:pPr>
  </w:style>
  <w:style w:type="paragraph" w:styleId="ListContinue3">
    <w:name w:val="List Continue 3"/>
    <w:basedOn w:val="List3"/>
    <w:rsid w:val="006C6E7F"/>
    <w:pPr>
      <w:ind w:left="1021" w:firstLine="0"/>
    </w:pPr>
  </w:style>
  <w:style w:type="paragraph" w:styleId="ListContinue4">
    <w:name w:val="List Continue 4"/>
    <w:basedOn w:val="List4"/>
    <w:rsid w:val="006C6E7F"/>
    <w:pPr>
      <w:ind w:firstLine="0"/>
    </w:pPr>
  </w:style>
  <w:style w:type="paragraph" w:styleId="ListContinue5">
    <w:name w:val="List Continue 5"/>
    <w:basedOn w:val="List5"/>
    <w:rsid w:val="006C6E7F"/>
    <w:pPr>
      <w:ind w:firstLine="0"/>
    </w:pPr>
  </w:style>
  <w:style w:type="paragraph" w:styleId="ListNumber3">
    <w:name w:val="List Number 3"/>
    <w:basedOn w:val="List3"/>
    <w:rsid w:val="006C6E7F"/>
    <w:pPr>
      <w:numPr>
        <w:numId w:val="3"/>
      </w:numPr>
    </w:pPr>
  </w:style>
  <w:style w:type="paragraph" w:styleId="ListNumber4">
    <w:name w:val="List Number 4"/>
    <w:basedOn w:val="List4"/>
    <w:rsid w:val="006C6E7F"/>
    <w:pPr>
      <w:numPr>
        <w:numId w:val="4"/>
      </w:numPr>
    </w:pPr>
  </w:style>
  <w:style w:type="paragraph" w:styleId="ListNumber5">
    <w:name w:val="List Number 5"/>
    <w:basedOn w:val="List5"/>
    <w:rsid w:val="006C6E7F"/>
    <w:pPr>
      <w:numPr>
        <w:numId w:val="5"/>
      </w:numPr>
    </w:pPr>
  </w:style>
  <w:style w:type="paragraph" w:styleId="BlockText">
    <w:name w:val="Block Text"/>
    <w:basedOn w:val="Normal"/>
    <w:rsid w:val="006C6E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6E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6E7F"/>
    <w:rPr>
      <w:sz w:val="16"/>
      <w:vertAlign w:val="superscript"/>
    </w:rPr>
  </w:style>
  <w:style w:type="character" w:customStyle="1" w:styleId="Symbols">
    <w:name w:val="Symbols"/>
    <w:basedOn w:val="DefaultParagraphFont"/>
    <w:rsid w:val="006C6E7F"/>
    <w:rPr>
      <w:rFonts w:ascii="Symbol" w:hAnsi="Symbol"/>
    </w:rPr>
  </w:style>
  <w:style w:type="character" w:customStyle="1" w:styleId="MenuOptions">
    <w:name w:val="Menu Options"/>
    <w:basedOn w:val="DefaultParagraphFont"/>
    <w:rsid w:val="006C6E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6E7F"/>
    <w:rPr>
      <w:b/>
    </w:rPr>
  </w:style>
  <w:style w:type="character" w:customStyle="1" w:styleId="Underlined">
    <w:name w:val="Underlined"/>
    <w:basedOn w:val="DefaultParagraphFont"/>
    <w:rsid w:val="006C6E7F"/>
    <w:rPr>
      <w:u w:val="single"/>
    </w:rPr>
  </w:style>
  <w:style w:type="paragraph" w:customStyle="1" w:styleId="TableBodyTextRight">
    <w:name w:val="Table Body Text Right"/>
    <w:basedOn w:val="TableBodyText"/>
    <w:rsid w:val="006C6E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6E7F"/>
    <w:rPr>
      <w:sz w:val="18"/>
    </w:rPr>
  </w:style>
  <w:style w:type="paragraph" w:customStyle="1" w:styleId="BodySmallRight">
    <w:name w:val="Body Small Right"/>
    <w:basedOn w:val="BodyTextRight"/>
    <w:rsid w:val="006C6E7F"/>
    <w:rPr>
      <w:sz w:val="18"/>
      <w:szCs w:val="18"/>
    </w:rPr>
  </w:style>
  <w:style w:type="paragraph" w:customStyle="1" w:styleId="MarginEdition">
    <w:name w:val="Margin Edition"/>
    <w:basedOn w:val="MarginNote"/>
    <w:rsid w:val="006C6E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6E7F"/>
    <w:rPr>
      <w:sz w:val="2"/>
      <w:szCs w:val="2"/>
    </w:rPr>
  </w:style>
  <w:style w:type="character" w:customStyle="1" w:styleId="Small">
    <w:name w:val="Small"/>
    <w:basedOn w:val="DefaultParagraphFont"/>
    <w:rsid w:val="006C6E7F"/>
    <w:rPr>
      <w:sz w:val="16"/>
    </w:rPr>
  </w:style>
  <w:style w:type="paragraph" w:customStyle="1" w:styleId="WideTable">
    <w:name w:val="Wide Table"/>
    <w:basedOn w:val="Normal"/>
    <w:rsid w:val="006C6E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6E7F"/>
  </w:style>
  <w:style w:type="paragraph" w:styleId="Quote">
    <w:name w:val="Quote"/>
    <w:basedOn w:val="Heading1"/>
    <w:link w:val="QuoteChar"/>
    <w:qFormat/>
    <w:rsid w:val="006C6E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6E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6E7F"/>
    <w:pPr>
      <w:pageBreakBefore/>
    </w:pPr>
  </w:style>
  <w:style w:type="paragraph" w:customStyle="1" w:styleId="Border">
    <w:name w:val="Border"/>
    <w:basedOn w:val="Normal"/>
    <w:qFormat/>
    <w:rsid w:val="006C6E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6E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6E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6E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6E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6E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6E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6E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6E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6E7F"/>
    <w:rPr>
      <w:u w:val="single"/>
    </w:rPr>
  </w:style>
  <w:style w:type="character" w:customStyle="1" w:styleId="BoldandItalics">
    <w:name w:val="Bold and Italics"/>
    <w:qFormat/>
    <w:rsid w:val="006C6E7F"/>
    <w:rPr>
      <w:b/>
      <w:i/>
      <w:u w:val="none"/>
    </w:rPr>
  </w:style>
  <w:style w:type="paragraph" w:styleId="BalloonText">
    <w:name w:val="Balloon Text"/>
    <w:basedOn w:val="Normal"/>
    <w:link w:val="BalloonTextChar"/>
    <w:rsid w:val="006C6E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6E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6E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6E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6E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6E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6E7F"/>
    <w:pPr>
      <w:spacing w:before="0" w:after="0"/>
    </w:pPr>
  </w:style>
  <w:style w:type="paragraph" w:customStyle="1" w:styleId="BodyTextBold">
    <w:name w:val="Body Text Bold"/>
    <w:basedOn w:val="BodyText"/>
    <w:qFormat/>
    <w:rsid w:val="006C6E7F"/>
    <w:rPr>
      <w:b/>
    </w:rPr>
  </w:style>
  <w:style w:type="character" w:styleId="Hyperlink">
    <w:name w:val="Hyperlink"/>
    <w:basedOn w:val="DefaultParagraphFont"/>
    <w:uiPriority w:val="99"/>
    <w:unhideWhenUsed/>
    <w:rsid w:val="005850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722</Words>
  <Characters>4442</Characters>
  <Application>Microsoft Office Word</Application>
  <DocSecurity>0</DocSecurity>
  <Lines>143</Lines>
  <Paragraphs>84</Paragraphs>
  <ScaleCrop>false</ScaleCrop>
  <Company>Author-it Software Corporation Ltd.</Company>
  <LinksUpToDate>false</LinksUpToDate>
  <CharactersWithSpaces>5080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HLTDEN018 Implement an individualised oral hygiene program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2023-07-02T02:13:00Z</dcterms:created>
  <dcterms:modified xsi:type="dcterms:W3CDTF">2023-07-02T02:13:00Z</dcterms:modified>
</cp:coreProperties>
</file>