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EFF" w:rsidP="00610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HLTDEN018 Implement an individualised oral hygiene program</w:t>
      </w:r>
      <w:r>
        <w:fldChar w:fldCharType="end"/>
      </w:r>
    </w:p>
    <w:p w:rsidR="00610EFF" w:rsidP="00610EFF">
      <w:pPr>
        <w:pStyle w:val="Version"/>
        <w:sectPr w:rsidSect="00336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6272" w:rsidP="00336272">
      <w:pPr>
        <w:pStyle w:val="SuperHeading"/>
      </w:pPr>
      <w:r w:rsidRPr="00336272">
        <w:t>Assessment Requirements for HLTDEN018 Implement an individualised oral hygiene program</w:t>
      </w:r>
    </w:p>
    <w:p w:rsidR="00000000" w:rsidRPr="00336272" w:rsidP="00336272">
      <w:pPr>
        <w:pStyle w:val="Heading1"/>
      </w:pPr>
      <w:bookmarkStart w:id="1" w:name="O_1200931"/>
      <w:bookmarkEnd w:id="1"/>
      <w:r w:rsidRPr="003362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3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6272" w:rsidP="00336272">
            <w:pPr>
              <w:pStyle w:val="BodyText"/>
            </w:pPr>
            <w:r w:rsidRPr="0033627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6272">
            <w:pPr>
              <w:pStyle w:val="BodyText"/>
              <w:rPr>
                <w:lang w:val="en-NZ"/>
              </w:rPr>
            </w:pPr>
            <w:r w:rsidRPr="00336272">
              <w:rPr>
                <w:rStyle w:val="SpecialBold"/>
              </w:rPr>
              <w:t>Comments</w:t>
            </w:r>
          </w:p>
        </w:tc>
      </w:tr>
      <w:tr w:rsidTr="003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72">
            <w:pPr>
              <w:pStyle w:val="BodyText"/>
              <w:rPr>
                <w:lang w:val="en-NZ"/>
              </w:rPr>
            </w:pPr>
            <w:r w:rsidRPr="0033627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272" w:rsidP="00336272">
            <w:pPr>
              <w:pStyle w:val="BodyText"/>
            </w:pPr>
            <w:r w:rsidRPr="00336272">
              <w:t>Release 2 HLTDEN018 Implement an individualised oral hygiene program supersedes and is equivalent to Release 1 HLTDEN018 Implement an individualised oral hygiene program.</w:t>
            </w:r>
          </w:p>
          <w:p w:rsidR="00000000" w:rsidRPr="00336272" w:rsidP="00336272">
            <w:pPr>
              <w:pStyle w:val="BodyText"/>
            </w:pPr>
            <w:r w:rsidRPr="00336272">
              <w:t>Updated:</w:t>
            </w:r>
          </w:p>
          <w:p w:rsidR="00000000" w:rsidP="00336272">
            <w:pPr>
              <w:pStyle w:val="BodyText"/>
              <w:rPr>
                <w:lang w:val="en-NZ"/>
              </w:rPr>
            </w:pPr>
            <w:r w:rsidRPr="00336272">
              <w:t>Mapping details and minor corrections.</w:t>
            </w:r>
          </w:p>
        </w:tc>
      </w:tr>
      <w:tr w:rsidTr="003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72">
            <w:pPr>
              <w:pStyle w:val="BodyText"/>
              <w:rPr>
                <w:lang w:val="en-NZ"/>
              </w:rPr>
            </w:pPr>
            <w:r w:rsidRPr="0033627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272" w:rsidP="00336272">
            <w:pPr>
              <w:pStyle w:val="BodyText"/>
            </w:pPr>
            <w:r w:rsidRPr="00336272">
              <w:t>HLTDEN018 Implement an ind</w:t>
            </w:r>
            <w:r w:rsidRPr="00336272">
              <w:t>ividualised oral hygiene program supersedes and is not equivalent to HLTDEN004 Implement an individualised oral hygiene program.</w:t>
            </w:r>
          </w:p>
        </w:tc>
      </w:tr>
    </w:tbl>
    <w:p w:rsidR="00000000" w:rsidRPr="00336272" w:rsidP="00336272">
      <w:pPr>
        <w:pStyle w:val="BodyText"/>
      </w:pPr>
    </w:p>
    <w:p w:rsidR="00000000" w:rsidRPr="00336272" w:rsidP="00336272">
      <w:pPr>
        <w:pStyle w:val="AllowPageBreak"/>
      </w:pPr>
    </w:p>
    <w:p w:rsidR="00000000" w:rsidRPr="00336272" w:rsidP="00336272">
      <w:pPr>
        <w:pStyle w:val="Heading1"/>
      </w:pPr>
      <w:bookmarkStart w:id="2" w:name="O_1200930"/>
      <w:bookmarkEnd w:id="2"/>
      <w:r w:rsidRPr="00336272">
        <w:t>Performance Evidence</w:t>
      </w:r>
    </w:p>
    <w:p w:rsidR="00000000" w:rsidRPr="00336272" w:rsidP="00610EFF">
      <w:pPr>
        <w:pStyle w:val="BodyText"/>
      </w:pPr>
      <w:r w:rsidRPr="00336272">
        <w:t>Evidence of the ability to complete tasks outlined in elements and performance criteria of this unit in the context of the job role, and:</w:t>
      </w:r>
    </w:p>
    <w:p w:rsidR="00000000" w:rsidRPr="00336272" w:rsidP="00336272">
      <w:pPr>
        <w:pStyle w:val="ListBullet"/>
      </w:pPr>
      <w:r w:rsidRPr="00336272">
        <w:t>provide comprehensive information to at least five different patients including:</w:t>
      </w:r>
    </w:p>
    <w:p w:rsidR="00000000" w:rsidRPr="00336272" w:rsidP="00336272">
      <w:pPr>
        <w:pStyle w:val="ListBullet2"/>
      </w:pPr>
      <w:r w:rsidRPr="00336272">
        <w:t>information on the prevention of or</w:t>
      </w:r>
      <w:r w:rsidRPr="00336272">
        <w:t>al diseases</w:t>
      </w:r>
    </w:p>
    <w:p w:rsidR="00000000" w:rsidRPr="00336272" w:rsidP="00336272">
      <w:pPr>
        <w:pStyle w:val="ListBullet2"/>
      </w:pPr>
      <w:r w:rsidRPr="00336272">
        <w:t>advice on and demonstration of proper oral hygiene techniques</w:t>
      </w:r>
    </w:p>
    <w:p w:rsidR="00000000" w:rsidRPr="00336272" w:rsidP="00336272">
      <w:pPr>
        <w:pStyle w:val="ListBullet2"/>
      </w:pPr>
      <w:r w:rsidRPr="00336272">
        <w:t>emphasising benefits of good oral hygiene to inform and motivate behaviour change</w:t>
      </w:r>
    </w:p>
    <w:p w:rsidR="00000000" w:rsidRPr="00336272" w:rsidP="00336272">
      <w:pPr>
        <w:pStyle w:val="ListBullet"/>
      </w:pPr>
      <w:r w:rsidRPr="00336272">
        <w:t>perform at least one unstimulated and one stimulated saliva test on a patient, record results and p</w:t>
      </w:r>
      <w:r w:rsidRPr="00336272">
        <w:t>rovide information to patient as directed by the dental practitioner.</w:t>
      </w:r>
    </w:p>
    <w:p w:rsidR="00000000" w:rsidRPr="00336272" w:rsidP="00336272">
      <w:pPr>
        <w:pStyle w:val="AllowPageBreak"/>
      </w:pPr>
    </w:p>
    <w:p w:rsidR="00000000" w:rsidRPr="00336272" w:rsidP="00336272">
      <w:pPr>
        <w:pStyle w:val="Heading1"/>
      </w:pPr>
      <w:bookmarkStart w:id="3" w:name="O_1200929"/>
      <w:bookmarkEnd w:id="3"/>
      <w:r w:rsidRPr="00336272">
        <w:t>Knowledge Evidence</w:t>
      </w:r>
    </w:p>
    <w:p w:rsidR="00000000" w:rsidRPr="00336272" w:rsidP="00610EFF">
      <w:pPr>
        <w:pStyle w:val="BodyText"/>
      </w:pPr>
      <w:r w:rsidRPr="00336272">
        <w:t>Demonstrated knowledge required to complete the tasks outlined in elements and performance criteria of this unit:</w:t>
      </w:r>
    </w:p>
    <w:p w:rsidR="00000000" w:rsidRPr="00336272" w:rsidP="00336272">
      <w:pPr>
        <w:pStyle w:val="ListBullet"/>
      </w:pPr>
      <w:r w:rsidRPr="00336272">
        <w:t>fundamental oral anatomy includin</w:t>
      </w:r>
      <w:r w:rsidRPr="00336272">
        <w:t>g:</w:t>
      </w:r>
    </w:p>
    <w:p w:rsidR="00000000" w:rsidRPr="00336272" w:rsidP="00336272">
      <w:pPr>
        <w:pStyle w:val="ListBullet2"/>
      </w:pPr>
      <w:r w:rsidRPr="00336272">
        <w:t>structures of the oral cavity, hard and soft palate, lateral and posterior borders of the oral cavity, tongue and floor of the mouth</w:t>
      </w:r>
    </w:p>
    <w:p w:rsidR="00000000" w:rsidRPr="00336272" w:rsidP="00336272">
      <w:pPr>
        <w:pStyle w:val="ListBullet2"/>
      </w:pPr>
      <w:r w:rsidRPr="00336272">
        <w:t>teeth form and function</w:t>
      </w:r>
    </w:p>
    <w:p w:rsidR="00000000" w:rsidRPr="00336272" w:rsidP="00336272">
      <w:pPr>
        <w:pStyle w:val="ListBullet2"/>
      </w:pPr>
      <w:r w:rsidRPr="00336272">
        <w:t xml:space="preserve">dentition including arrangement of the teeth, naming and coding of teeth </w:t>
      </w:r>
    </w:p>
    <w:p w:rsidR="00000000" w:rsidRPr="00336272" w:rsidP="00336272">
      <w:pPr>
        <w:pStyle w:val="ListBullet"/>
      </w:pPr>
      <w:r w:rsidRPr="00336272">
        <w:t>plaque and its differing roles in the development of dental caries and periodontal disease</w:t>
      </w:r>
    </w:p>
    <w:p w:rsidR="00000000" w:rsidRPr="00336272" w:rsidP="00336272">
      <w:pPr>
        <w:pStyle w:val="ListBullet"/>
      </w:pPr>
      <w:r w:rsidRPr="00336272">
        <w:t>saliva and its role in maintenance of oral health including:</w:t>
      </w:r>
    </w:p>
    <w:p w:rsidR="00000000" w:rsidRPr="00336272" w:rsidP="00336272">
      <w:pPr>
        <w:pStyle w:val="ListBullet2"/>
      </w:pPr>
      <w:r w:rsidRPr="00336272">
        <w:t>protecting teeth by neutralising acid</w:t>
      </w:r>
    </w:p>
    <w:p w:rsidR="00000000" w:rsidRPr="00336272" w:rsidP="00336272">
      <w:pPr>
        <w:pStyle w:val="ListBullet2"/>
      </w:pPr>
      <w:r w:rsidRPr="00336272">
        <w:t>acting as a lubricant</w:t>
      </w:r>
    </w:p>
    <w:p w:rsidR="00000000" w:rsidRPr="00336272" w:rsidP="00336272">
      <w:pPr>
        <w:pStyle w:val="ListBullet2"/>
      </w:pPr>
      <w:r w:rsidRPr="00336272">
        <w:t xml:space="preserve">delivering calcium, phosphate and fluoride </w:t>
      </w:r>
      <w:r w:rsidRPr="00336272">
        <w:t>to the tooth surface</w:t>
      </w:r>
    </w:p>
    <w:p w:rsidR="00000000" w:rsidRPr="00336272" w:rsidP="00336272">
      <w:pPr>
        <w:pStyle w:val="ListBullet"/>
      </w:pPr>
      <w:r w:rsidRPr="00336272">
        <w:t>biochemical, pathological or pharmacological influences on diagnostic salivary testing and results</w:t>
      </w:r>
    </w:p>
    <w:p w:rsidR="00000000" w:rsidRPr="00336272" w:rsidP="00336272">
      <w:pPr>
        <w:pStyle w:val="ListBullet"/>
      </w:pPr>
      <w:r w:rsidRPr="00336272">
        <w:t>factors that lead to the development of dental caries including:</w:t>
      </w:r>
    </w:p>
    <w:p w:rsidR="00000000" w:rsidRPr="00336272" w:rsidP="00336272">
      <w:pPr>
        <w:pStyle w:val="ListBullet2"/>
      </w:pPr>
      <w:r w:rsidRPr="00336272">
        <w:t>bacteria in dental plaque</w:t>
      </w:r>
    </w:p>
    <w:p w:rsidR="00000000" w:rsidRPr="00336272" w:rsidP="00336272">
      <w:pPr>
        <w:pStyle w:val="ListBullet2"/>
      </w:pPr>
      <w:r w:rsidRPr="00336272">
        <w:t xml:space="preserve">diet </w:t>
      </w:r>
    </w:p>
    <w:p w:rsidR="00000000" w:rsidRPr="00336272" w:rsidP="00336272">
      <w:pPr>
        <w:pStyle w:val="ListBullet2"/>
      </w:pPr>
      <w:r w:rsidRPr="00336272">
        <w:t>susceptible tooth surfaces</w:t>
      </w:r>
    </w:p>
    <w:p w:rsidR="00000000" w:rsidRPr="00336272" w:rsidP="00336272">
      <w:pPr>
        <w:pStyle w:val="ListBullet2"/>
      </w:pPr>
      <w:r w:rsidRPr="00336272">
        <w:t>socioecono</w:t>
      </w:r>
      <w:r w:rsidRPr="00336272">
        <w:t>mic background including dietary intake</w:t>
      </w:r>
    </w:p>
    <w:p w:rsidR="00000000" w:rsidRPr="00336272" w:rsidP="00336272">
      <w:pPr>
        <w:pStyle w:val="ListBullet2"/>
      </w:pPr>
      <w:r w:rsidRPr="00336272">
        <w:t>mental health conditions and awareness of oral health issues</w:t>
      </w:r>
    </w:p>
    <w:p w:rsidR="00000000" w:rsidRPr="00336272" w:rsidP="00336272">
      <w:pPr>
        <w:pStyle w:val="ListBullet2"/>
      </w:pPr>
      <w:r w:rsidRPr="00336272">
        <w:t>eruption time of teeth</w:t>
      </w:r>
    </w:p>
    <w:p w:rsidR="00000000" w:rsidRPr="00336272" w:rsidP="00336272">
      <w:pPr>
        <w:pStyle w:val="ListBullet"/>
      </w:pPr>
      <w:r w:rsidRPr="00336272">
        <w:t>factors that prevent and control dental caries:</w:t>
      </w:r>
    </w:p>
    <w:p w:rsidR="00000000" w:rsidRPr="00336272" w:rsidP="00336272">
      <w:pPr>
        <w:pStyle w:val="ListBullet2"/>
      </w:pPr>
      <w:r w:rsidRPr="00336272">
        <w:t>increasing salivary flow and optimising its composition.</w:t>
      </w:r>
    </w:p>
    <w:p w:rsidR="00000000" w:rsidRPr="00336272" w:rsidP="00336272">
      <w:pPr>
        <w:pStyle w:val="ListBullet2"/>
      </w:pPr>
      <w:r w:rsidRPr="00336272">
        <w:t>fluorides</w:t>
      </w:r>
    </w:p>
    <w:p w:rsidR="00000000" w:rsidRPr="00336272" w:rsidP="00336272">
      <w:pPr>
        <w:pStyle w:val="ListBullet2"/>
      </w:pPr>
      <w:r w:rsidRPr="00336272">
        <w:t>plaque control and removal</w:t>
      </w:r>
    </w:p>
    <w:p w:rsidR="00000000" w:rsidRPr="00336272" w:rsidP="00336272">
      <w:pPr>
        <w:pStyle w:val="ListBullet2"/>
      </w:pPr>
      <w:r w:rsidRPr="00336272">
        <w:t>dietary change</w:t>
      </w:r>
    </w:p>
    <w:p w:rsidR="00000000" w:rsidRPr="00336272" w:rsidP="00336272">
      <w:pPr>
        <w:pStyle w:val="ListBullet2"/>
      </w:pPr>
      <w:r w:rsidRPr="00336272">
        <w:t>oral health education</w:t>
      </w:r>
    </w:p>
    <w:p w:rsidR="00000000" w:rsidRPr="00336272" w:rsidP="00336272">
      <w:pPr>
        <w:pStyle w:val="ListBullet"/>
      </w:pPr>
      <w:r w:rsidRPr="00336272">
        <w:t>factors that lead to the development of periodontal disease including:</w:t>
      </w:r>
    </w:p>
    <w:p w:rsidR="00000000" w:rsidRPr="00336272" w:rsidP="00336272">
      <w:pPr>
        <w:pStyle w:val="ListBullet2"/>
      </w:pPr>
      <w:r w:rsidRPr="00336272">
        <w:t>bacteria in dental plaque</w:t>
      </w:r>
    </w:p>
    <w:p w:rsidR="00000000" w:rsidRPr="00336272" w:rsidP="00336272">
      <w:pPr>
        <w:pStyle w:val="ListBullet2"/>
      </w:pPr>
      <w:r w:rsidRPr="00336272">
        <w:t>accumulation of plaque and calculus</w:t>
      </w:r>
    </w:p>
    <w:p w:rsidR="00000000" w:rsidRPr="00336272" w:rsidP="00336272">
      <w:pPr>
        <w:pStyle w:val="ListBullet2"/>
      </w:pPr>
      <w:r w:rsidRPr="00336272">
        <w:t>smoking</w:t>
      </w:r>
    </w:p>
    <w:p w:rsidR="00000000" w:rsidRPr="00336272" w:rsidP="00336272">
      <w:pPr>
        <w:pStyle w:val="ListBullet2"/>
      </w:pPr>
      <w:r w:rsidRPr="00336272">
        <w:t>medications</w:t>
      </w:r>
    </w:p>
    <w:p w:rsidR="00000000" w:rsidRPr="00336272" w:rsidP="00336272">
      <w:pPr>
        <w:pStyle w:val="ListBullet2"/>
      </w:pPr>
      <w:r w:rsidRPr="00336272">
        <w:t>eruption time of teeth</w:t>
      </w:r>
    </w:p>
    <w:p w:rsidR="00000000" w:rsidRPr="00336272" w:rsidP="00336272">
      <w:pPr>
        <w:pStyle w:val="ListBullet"/>
      </w:pPr>
      <w:r w:rsidRPr="00336272">
        <w:t xml:space="preserve">factors that </w:t>
      </w:r>
      <w:r w:rsidRPr="00336272">
        <w:t>prevent and control periodontal disease including:</w:t>
      </w:r>
    </w:p>
    <w:p w:rsidR="00000000" w:rsidRPr="00336272" w:rsidP="00336272">
      <w:pPr>
        <w:pStyle w:val="ListBullet2"/>
      </w:pPr>
      <w:r w:rsidRPr="00336272">
        <w:t>oral health education</w:t>
      </w:r>
    </w:p>
    <w:p w:rsidR="00000000" w:rsidRPr="00336272" w:rsidP="00336272">
      <w:pPr>
        <w:pStyle w:val="ListBullet2"/>
      </w:pPr>
      <w:r w:rsidRPr="00336272">
        <w:t>plaque control</w:t>
      </w:r>
    </w:p>
    <w:p w:rsidR="00000000" w:rsidRPr="00336272" w:rsidP="00336272">
      <w:pPr>
        <w:pStyle w:val="ListBullet"/>
      </w:pPr>
      <w:r w:rsidRPr="00336272">
        <w:t>causes, and prevention, of non caries tooth wear:</w:t>
      </w:r>
    </w:p>
    <w:p w:rsidR="00000000" w:rsidRPr="00336272" w:rsidP="00336272">
      <w:pPr>
        <w:pStyle w:val="ListBullet2"/>
      </w:pPr>
      <w:r w:rsidRPr="00336272">
        <w:t>erosion</w:t>
      </w:r>
    </w:p>
    <w:p w:rsidR="00000000" w:rsidRPr="00336272" w:rsidP="00336272">
      <w:pPr>
        <w:pStyle w:val="ListBullet2"/>
      </w:pPr>
      <w:r w:rsidRPr="00336272">
        <w:t>abrasion</w:t>
      </w:r>
    </w:p>
    <w:p w:rsidR="00000000" w:rsidRPr="00336272" w:rsidP="00336272">
      <w:pPr>
        <w:pStyle w:val="ListBullet2"/>
      </w:pPr>
      <w:r w:rsidRPr="00336272">
        <w:t>attrition</w:t>
      </w:r>
    </w:p>
    <w:p w:rsidR="00000000" w:rsidRPr="00336272" w:rsidP="00336272">
      <w:pPr>
        <w:pStyle w:val="ListBullet"/>
      </w:pPr>
      <w:r w:rsidRPr="00336272">
        <w:t>role of properly constructed and fitted mouthguards in preventing dental injuries</w:t>
      </w:r>
    </w:p>
    <w:p w:rsidR="00000000" w:rsidRPr="00336272" w:rsidP="00336272">
      <w:pPr>
        <w:pStyle w:val="ListBullet"/>
      </w:pPr>
      <w:r w:rsidRPr="00336272">
        <w:t xml:space="preserve">fundamental knowledge of the impact of smoking on oral soft tissues </w:t>
      </w:r>
    </w:p>
    <w:p w:rsidR="00000000" w:rsidRPr="00336272" w:rsidP="00336272">
      <w:pPr>
        <w:pStyle w:val="ListBullet"/>
      </w:pPr>
      <w:r w:rsidRPr="00336272">
        <w:t>fundamental knowledge of systemic conditions which influence the development of oral disease</w:t>
      </w:r>
    </w:p>
    <w:p w:rsidR="00000000" w:rsidRPr="00336272" w:rsidP="00336272">
      <w:pPr>
        <w:pStyle w:val="ListBullet"/>
      </w:pPr>
      <w:r w:rsidRPr="00336272">
        <w:t xml:space="preserve">local oral factors which influence the development of oral disease </w:t>
      </w:r>
    </w:p>
    <w:p w:rsidR="00000000" w:rsidRPr="00336272" w:rsidP="00336272">
      <w:pPr>
        <w:pStyle w:val="ListBullet"/>
      </w:pPr>
      <w:r w:rsidRPr="00336272">
        <w:t>modifications to oral heal</w:t>
      </w:r>
      <w:r w:rsidRPr="00336272">
        <w:t>th education programs related to special needs due to disability, aged care and children’s needs</w:t>
      </w:r>
    </w:p>
    <w:p w:rsidR="00000000" w:rsidRPr="00336272" w:rsidP="00336272">
      <w:pPr>
        <w:pStyle w:val="ListBullet"/>
      </w:pPr>
      <w:r w:rsidRPr="00336272">
        <w:t xml:space="preserve">oral appliances and their impact on oral hygiene maintenance </w:t>
      </w:r>
    </w:p>
    <w:p w:rsidR="00000000" w:rsidRPr="00336272" w:rsidP="00336272">
      <w:pPr>
        <w:pStyle w:val="ListBullet"/>
      </w:pPr>
      <w:r w:rsidRPr="00336272">
        <w:t>legislative requirements related to the use of fluoride in dentistry.</w:t>
      </w:r>
    </w:p>
    <w:p w:rsidR="00000000" w:rsidRPr="00336272" w:rsidP="00336272">
      <w:pPr>
        <w:pStyle w:val="AllowPageBreak"/>
      </w:pPr>
    </w:p>
    <w:p w:rsidR="00000000" w:rsidRPr="00336272" w:rsidP="00336272">
      <w:pPr>
        <w:pStyle w:val="Heading1"/>
      </w:pPr>
      <w:bookmarkStart w:id="4" w:name="O_1200928"/>
      <w:bookmarkEnd w:id="4"/>
      <w:r w:rsidRPr="00336272">
        <w:t>Assessme</w:t>
      </w:r>
      <w:r w:rsidRPr="00336272">
        <w:t>nt Conditions</w:t>
      </w:r>
    </w:p>
    <w:p w:rsidR="00000000" w:rsidRPr="00336272" w:rsidP="00610EFF">
      <w:pPr>
        <w:pStyle w:val="BodyText"/>
      </w:pPr>
      <w:r w:rsidRPr="00336272">
        <w:t xml:space="preserve">Skills must be demonstrated in a dental clinic workplace or in a simulated environment that reflects workplace conditions. </w:t>
      </w:r>
    </w:p>
    <w:p w:rsidR="00000000" w:rsidRPr="00336272" w:rsidP="00610EFF">
      <w:pPr>
        <w:pStyle w:val="BodyText"/>
      </w:pPr>
      <w:r w:rsidRPr="00336272">
        <w:t>Assessment must ensure:</w:t>
      </w:r>
    </w:p>
    <w:p w:rsidR="00000000" w:rsidRPr="00336272" w:rsidP="00336272">
      <w:pPr>
        <w:pStyle w:val="ListBullet"/>
      </w:pPr>
      <w:r w:rsidRPr="00336272">
        <w:t>access to suitable facilities, equipment and resources including:</w:t>
      </w:r>
    </w:p>
    <w:p w:rsidR="00000000" w:rsidRPr="00336272" w:rsidP="00336272">
      <w:pPr>
        <w:pStyle w:val="ListBullet2"/>
      </w:pPr>
      <w:r w:rsidRPr="00336272">
        <w:t>personal protective equipment</w:t>
      </w:r>
    </w:p>
    <w:p w:rsidR="00000000" w:rsidRPr="00336272" w:rsidP="00336272">
      <w:pPr>
        <w:pStyle w:val="ListBullet2"/>
      </w:pPr>
      <w:r w:rsidRPr="00336272">
        <w:t>cleaning equipment</w:t>
      </w:r>
    </w:p>
    <w:p w:rsidR="00000000" w:rsidRPr="00336272" w:rsidP="00336272">
      <w:pPr>
        <w:pStyle w:val="ListBullet2"/>
      </w:pPr>
      <w:r w:rsidRPr="00336272">
        <w:t>disposable and non-disposable instruments</w:t>
      </w:r>
    </w:p>
    <w:p w:rsidR="00000000" w:rsidRPr="00336272" w:rsidP="00336272">
      <w:pPr>
        <w:pStyle w:val="ListBullet"/>
      </w:pPr>
      <w:r w:rsidRPr="00336272">
        <w:t>modelling of industry operating conditions including access to people for simulations and scenarios in dental assisting work</w:t>
      </w:r>
    </w:p>
    <w:p w:rsidR="00000000" w:rsidRPr="00336272" w:rsidP="00610EFF">
      <w:pPr>
        <w:pStyle w:val="BodyText"/>
      </w:pPr>
      <w:r w:rsidRPr="00336272">
        <w:t>Assessors must satisfy the Standards fo</w:t>
      </w:r>
      <w:r w:rsidRPr="00336272">
        <w:t xml:space="preserve">r Registered Training Organisations’ requirements for assessors and hold a minimum of five years clinical dental experience. </w:t>
      </w:r>
    </w:p>
    <w:p w:rsidR="00000000" w:rsidRPr="00336272" w:rsidP="00336272">
      <w:pPr>
        <w:pStyle w:val="Heading1"/>
      </w:pPr>
      <w:bookmarkStart w:id="5" w:name="O_1200942"/>
      <w:bookmarkEnd w:id="5"/>
      <w:r w:rsidRPr="00336272">
        <w:t>Links</w:t>
      </w:r>
    </w:p>
    <w:p w:rsidR="00000000" w:rsidRPr="00336272" w:rsidP="00610EFF">
      <w:pPr>
        <w:pStyle w:val="BodyText"/>
      </w:pPr>
      <w:r w:rsidRPr="003362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02DA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36272" w:rsidP="00336272"/>
    <w:sectPr w:rsidSect="003362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72" w:rsidRPr="00610EFF" w:rsidP="00610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FF" w:rsidP="00336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EFF" w:rsidP="00336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0EFF" w:rsidP="003362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272" w:rsidRPr="00610EFF" w:rsidP="00610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FF" w:rsidRPr="002D2AF8" w:rsidP="00336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HLTDEN018 Implement an individualised oral hygiene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10EFF" w:rsidP="003362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EAF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D81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D46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272"/>
  </w:style>
  <w:style w:type="character" w:customStyle="1" w:styleId="Heading1Char">
    <w:name w:val="Heading 1 Char"/>
    <w:basedOn w:val="DefaultParagraphFont"/>
    <w:link w:val="Heading1"/>
    <w:rsid w:val="00336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2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2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2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272"/>
    <w:rPr>
      <w:b/>
      <w:spacing w:val="0"/>
    </w:rPr>
  </w:style>
  <w:style w:type="paragraph" w:styleId="ListBullet2">
    <w:name w:val="List Bullet 2"/>
    <w:basedOn w:val="List2"/>
    <w:rsid w:val="003362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62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2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2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2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2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2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2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272"/>
    <w:rPr>
      <w:i/>
    </w:rPr>
  </w:style>
  <w:style w:type="paragraph" w:styleId="Caption">
    <w:name w:val="caption"/>
    <w:basedOn w:val="BodyText"/>
    <w:next w:val="Normal"/>
    <w:qFormat/>
    <w:rsid w:val="00336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272"/>
  </w:style>
  <w:style w:type="paragraph" w:styleId="TableofFigures">
    <w:name w:val="table of figures"/>
    <w:basedOn w:val="Normal"/>
    <w:next w:val="Normal"/>
    <w:semiHidden/>
    <w:rsid w:val="00336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2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272"/>
    <w:rPr>
      <w:rFonts w:ascii="Wingdings" w:hAnsi="Wingdings"/>
    </w:rPr>
  </w:style>
  <w:style w:type="paragraph" w:customStyle="1" w:styleId="TableHeading">
    <w:name w:val="Table Heading"/>
    <w:basedOn w:val="HeadingBase"/>
    <w:rsid w:val="00336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272"/>
    <w:rPr>
      <w:color w:val="0033CC"/>
      <w:u w:val="none"/>
    </w:rPr>
  </w:style>
  <w:style w:type="paragraph" w:customStyle="1" w:styleId="BodyTextRight">
    <w:name w:val="Body Text Right"/>
    <w:basedOn w:val="BodyText"/>
    <w:rsid w:val="00336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2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2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272"/>
    <w:rPr>
      <w:sz w:val="32"/>
    </w:rPr>
  </w:style>
  <w:style w:type="paragraph" w:customStyle="1" w:styleId="HeadingProcedure">
    <w:name w:val="Heading Procedure"/>
    <w:basedOn w:val="HeadingBase"/>
    <w:next w:val="Normal"/>
    <w:rsid w:val="00336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272"/>
    <w:pPr>
      <w:spacing w:before="60" w:after="60"/>
    </w:pPr>
  </w:style>
  <w:style w:type="paragraph" w:styleId="ListContinue">
    <w:name w:val="List Continue"/>
    <w:basedOn w:val="List"/>
    <w:rsid w:val="00336272"/>
    <w:pPr>
      <w:ind w:firstLine="0"/>
    </w:pPr>
  </w:style>
  <w:style w:type="paragraph" w:customStyle="1" w:styleId="ListNote">
    <w:name w:val="List Note"/>
    <w:basedOn w:val="List"/>
    <w:rsid w:val="00336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272"/>
    <w:rPr>
      <w:rFonts w:ascii="Courier New" w:hAnsi="Courier New"/>
    </w:rPr>
  </w:style>
  <w:style w:type="paragraph" w:customStyle="1" w:styleId="NoteBullet">
    <w:name w:val="Note Bullet"/>
    <w:basedOn w:val="Note"/>
    <w:rsid w:val="00336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2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2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272"/>
    <w:rPr>
      <w:b/>
      <w:smallCaps/>
    </w:rPr>
  </w:style>
  <w:style w:type="paragraph" w:customStyle="1" w:styleId="TableListNumber">
    <w:name w:val="Table List Number"/>
    <w:basedOn w:val="ListNumber"/>
    <w:rsid w:val="00336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272"/>
    <w:pPr>
      <w:numPr>
        <w:numId w:val="9"/>
      </w:numPr>
    </w:pPr>
  </w:style>
  <w:style w:type="paragraph" w:customStyle="1" w:styleId="ListAlpha2">
    <w:name w:val="List Alpha 2"/>
    <w:basedOn w:val="List2"/>
    <w:rsid w:val="00336272"/>
    <w:pPr>
      <w:numPr>
        <w:numId w:val="8"/>
      </w:numPr>
    </w:pPr>
  </w:style>
  <w:style w:type="paragraph" w:styleId="List2">
    <w:name w:val="List 2"/>
    <w:basedOn w:val="BodyText"/>
    <w:rsid w:val="00336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2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2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2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272"/>
    <w:pPr>
      <w:numPr>
        <w:numId w:val="4"/>
      </w:numPr>
    </w:pPr>
  </w:style>
  <w:style w:type="paragraph" w:styleId="ListContinue2">
    <w:name w:val="List Continue 2"/>
    <w:basedOn w:val="List2"/>
    <w:rsid w:val="00336272"/>
    <w:pPr>
      <w:ind w:firstLine="0"/>
    </w:pPr>
  </w:style>
  <w:style w:type="paragraph" w:styleId="ListContinue3">
    <w:name w:val="List Continue 3"/>
    <w:basedOn w:val="List3"/>
    <w:rsid w:val="00336272"/>
    <w:pPr>
      <w:ind w:left="1021" w:firstLine="0"/>
    </w:pPr>
  </w:style>
  <w:style w:type="paragraph" w:styleId="ListContinue4">
    <w:name w:val="List Continue 4"/>
    <w:basedOn w:val="List4"/>
    <w:rsid w:val="00336272"/>
    <w:pPr>
      <w:ind w:firstLine="0"/>
    </w:pPr>
  </w:style>
  <w:style w:type="paragraph" w:styleId="ListContinue5">
    <w:name w:val="List Continue 5"/>
    <w:basedOn w:val="List5"/>
    <w:rsid w:val="00336272"/>
    <w:pPr>
      <w:ind w:firstLine="0"/>
    </w:pPr>
  </w:style>
  <w:style w:type="paragraph" w:styleId="ListNumber3">
    <w:name w:val="List Number 3"/>
    <w:basedOn w:val="List3"/>
    <w:rsid w:val="00336272"/>
    <w:pPr>
      <w:numPr>
        <w:numId w:val="5"/>
      </w:numPr>
    </w:pPr>
  </w:style>
  <w:style w:type="paragraph" w:styleId="ListNumber4">
    <w:name w:val="List Number 4"/>
    <w:basedOn w:val="List4"/>
    <w:rsid w:val="00336272"/>
    <w:pPr>
      <w:numPr>
        <w:numId w:val="6"/>
      </w:numPr>
    </w:pPr>
  </w:style>
  <w:style w:type="paragraph" w:styleId="ListNumber5">
    <w:name w:val="List Number 5"/>
    <w:basedOn w:val="List5"/>
    <w:rsid w:val="00336272"/>
    <w:pPr>
      <w:numPr>
        <w:numId w:val="7"/>
      </w:numPr>
    </w:pPr>
  </w:style>
  <w:style w:type="paragraph" w:styleId="BlockText">
    <w:name w:val="Block Text"/>
    <w:basedOn w:val="Normal"/>
    <w:rsid w:val="003362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2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272"/>
    <w:rPr>
      <w:sz w:val="16"/>
      <w:vertAlign w:val="superscript"/>
    </w:rPr>
  </w:style>
  <w:style w:type="character" w:customStyle="1" w:styleId="Symbols">
    <w:name w:val="Symbols"/>
    <w:basedOn w:val="DefaultParagraphFont"/>
    <w:rsid w:val="00336272"/>
    <w:rPr>
      <w:rFonts w:ascii="Symbol" w:hAnsi="Symbol"/>
    </w:rPr>
  </w:style>
  <w:style w:type="character" w:customStyle="1" w:styleId="MenuOptions">
    <w:name w:val="Menu Options"/>
    <w:basedOn w:val="DefaultParagraphFont"/>
    <w:rsid w:val="003362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272"/>
    <w:rPr>
      <w:b/>
    </w:rPr>
  </w:style>
  <w:style w:type="character" w:customStyle="1" w:styleId="Underlined">
    <w:name w:val="Underlined"/>
    <w:basedOn w:val="DefaultParagraphFont"/>
    <w:rsid w:val="00336272"/>
    <w:rPr>
      <w:u w:val="single"/>
    </w:rPr>
  </w:style>
  <w:style w:type="paragraph" w:customStyle="1" w:styleId="TableBodyTextRight">
    <w:name w:val="Table Body Text Right"/>
    <w:basedOn w:val="TableBodyText"/>
    <w:rsid w:val="00336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272"/>
    <w:rPr>
      <w:sz w:val="18"/>
    </w:rPr>
  </w:style>
  <w:style w:type="paragraph" w:customStyle="1" w:styleId="BodySmallRight">
    <w:name w:val="Body Small Right"/>
    <w:basedOn w:val="BodyTextRight"/>
    <w:rsid w:val="00336272"/>
    <w:rPr>
      <w:sz w:val="18"/>
      <w:szCs w:val="18"/>
    </w:rPr>
  </w:style>
  <w:style w:type="paragraph" w:customStyle="1" w:styleId="MarginEdition">
    <w:name w:val="Margin Edition"/>
    <w:basedOn w:val="MarginNote"/>
    <w:rsid w:val="00336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272"/>
    <w:rPr>
      <w:sz w:val="2"/>
      <w:szCs w:val="2"/>
    </w:rPr>
  </w:style>
  <w:style w:type="character" w:customStyle="1" w:styleId="Small">
    <w:name w:val="Small"/>
    <w:basedOn w:val="DefaultParagraphFont"/>
    <w:rsid w:val="00336272"/>
    <w:rPr>
      <w:sz w:val="16"/>
    </w:rPr>
  </w:style>
  <w:style w:type="paragraph" w:customStyle="1" w:styleId="WideTable">
    <w:name w:val="Wide Table"/>
    <w:basedOn w:val="Normal"/>
    <w:rsid w:val="003362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272"/>
  </w:style>
  <w:style w:type="paragraph" w:styleId="Quote">
    <w:name w:val="Quote"/>
    <w:basedOn w:val="Heading1"/>
    <w:link w:val="QuoteChar"/>
    <w:qFormat/>
    <w:rsid w:val="003362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272"/>
    <w:pPr>
      <w:pageBreakBefore/>
    </w:pPr>
  </w:style>
  <w:style w:type="paragraph" w:customStyle="1" w:styleId="Border">
    <w:name w:val="Border"/>
    <w:basedOn w:val="Normal"/>
    <w:qFormat/>
    <w:rsid w:val="00336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2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2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272"/>
    <w:rPr>
      <w:u w:val="single"/>
    </w:rPr>
  </w:style>
  <w:style w:type="character" w:customStyle="1" w:styleId="BoldandItalics">
    <w:name w:val="Bold and Italics"/>
    <w:qFormat/>
    <w:rsid w:val="00336272"/>
    <w:rPr>
      <w:b/>
      <w:i/>
      <w:u w:val="none"/>
    </w:rPr>
  </w:style>
  <w:style w:type="paragraph" w:styleId="BalloonText">
    <w:name w:val="Balloon Text"/>
    <w:basedOn w:val="Normal"/>
    <w:link w:val="BalloonTextChar"/>
    <w:rsid w:val="00336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2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2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2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2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2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272"/>
    <w:pPr>
      <w:spacing w:before="0" w:after="0"/>
    </w:pPr>
  </w:style>
  <w:style w:type="paragraph" w:customStyle="1" w:styleId="BodyTextBold">
    <w:name w:val="Body Text Bold"/>
    <w:basedOn w:val="BodyText"/>
    <w:qFormat/>
    <w:rsid w:val="00336272"/>
    <w:rPr>
      <w:b/>
    </w:rPr>
  </w:style>
  <w:style w:type="character" w:styleId="Hyperlink">
    <w:name w:val="Hyperlink"/>
    <w:basedOn w:val="DefaultParagraphFont"/>
    <w:uiPriority w:val="99"/>
    <w:unhideWhenUsed/>
    <w:rsid w:val="00610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3718</Characters>
  <Application>Microsoft Office Word</Application>
  <DocSecurity>0</DocSecurity>
  <Lines>103</Lines>
  <Paragraphs>87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HLTDEN018 Implement an individualised oral hygiene program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