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08E" w:rsidP="00BC0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HLTDEN017 Assist with administration in dental practice</w:t>
      </w:r>
      <w:r>
        <w:fldChar w:fldCharType="end"/>
      </w:r>
    </w:p>
    <w:p w:rsidR="00BC008E" w:rsidP="00BC008E">
      <w:pPr>
        <w:pStyle w:val="Version"/>
        <w:sectPr w:rsidSect="00AD2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29D4" w:rsidP="00AD29D4">
      <w:pPr>
        <w:pStyle w:val="SuperHeading"/>
      </w:pPr>
      <w:r w:rsidRPr="00AD29D4">
        <w:t>HLTDEN017 Assist with administration in dental practice</w:t>
      </w:r>
    </w:p>
    <w:p w:rsidR="00000000" w:rsidRPr="00AD29D4" w:rsidP="00AD29D4">
      <w:pPr>
        <w:pStyle w:val="Heading1"/>
      </w:pPr>
      <w:bookmarkStart w:id="1" w:name="O_1200923"/>
      <w:bookmarkEnd w:id="1"/>
      <w:r w:rsidRPr="00AD29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29D4" w:rsidP="00AD29D4">
            <w:pPr>
              <w:pStyle w:val="BodyText"/>
            </w:pPr>
            <w:r w:rsidRPr="00AD29D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rPr>
                <w:rStyle w:val="SpecialBold"/>
              </w:rPr>
              <w:t>Comments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BodyText"/>
            </w:pPr>
            <w:r w:rsidRPr="00AD29D4">
              <w:t>Release 2 HLTDEN017 Assist with administration in dental practice supersedes and is equivalent to Release 1 HLTDEN017 Assist with administration in dental practice.</w:t>
            </w:r>
          </w:p>
          <w:p w:rsidR="00000000" w:rsidRPr="00AD29D4" w:rsidP="00AD29D4">
            <w:pPr>
              <w:pStyle w:val="BodyText"/>
            </w:pPr>
            <w:r w:rsidRPr="00AD29D4">
              <w:t>Updated:</w:t>
            </w:r>
          </w:p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t>Mapping details</w:t>
            </w:r>
            <w:r w:rsidRPr="00AD29D4">
              <w:t xml:space="preserve"> and minor corrections.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BodyText"/>
            </w:pPr>
            <w:r w:rsidRPr="00AD29D4">
              <w:t>HLTDEN017 Assist with administration in dental practice supersedes and is not equivalent to HLTDEN003 Assist with administration in dental practice.</w:t>
            </w:r>
          </w:p>
        </w:tc>
      </w:tr>
    </w:tbl>
    <w:p w:rsidR="00000000" w:rsidRPr="00AD29D4" w:rsidP="00AD29D4">
      <w:pPr>
        <w:pStyle w:val="BodyText"/>
      </w:pPr>
    </w:p>
    <w:p w:rsidR="00000000" w:rsidRPr="00AD29D4" w:rsidP="00AD29D4">
      <w:pPr>
        <w:pStyle w:val="AllowPageBreak"/>
      </w:pPr>
    </w:p>
    <w:p w:rsidR="00000000" w:rsidRPr="00AD29D4" w:rsidP="00AD29D4">
      <w:pPr>
        <w:pStyle w:val="Heading1"/>
      </w:pPr>
      <w:bookmarkStart w:id="2" w:name="O_1200922"/>
      <w:bookmarkEnd w:id="2"/>
      <w:r w:rsidRPr="00AD29D4">
        <w:t>Application</w:t>
      </w:r>
    </w:p>
    <w:p w:rsidR="00000000" w:rsidRPr="00AD29D4" w:rsidP="00BC008E">
      <w:pPr>
        <w:pStyle w:val="BodyText"/>
      </w:pPr>
      <w:r w:rsidRPr="00AD29D4">
        <w:t>This unit of competency describes the performance outcomes, skills and knowledge required for a dental assistant to assist the practitioner by managing appointments to suit the patient and the organisation, recording and reconciling payments, and maintaini</w:t>
      </w:r>
      <w:r w:rsidRPr="00AD29D4">
        <w:t>ng patient records.</w:t>
      </w:r>
    </w:p>
    <w:p w:rsidR="00000000" w:rsidRPr="00AD29D4" w:rsidP="00BC008E">
      <w:pPr>
        <w:pStyle w:val="BodyText"/>
      </w:pPr>
      <w:r w:rsidRPr="00AD29D4">
        <w:t xml:space="preserve">This unit applies to dental assistants who assist with administration in dental practice. </w:t>
      </w:r>
    </w:p>
    <w:p w:rsidR="00000000" w:rsidRPr="00AD29D4" w:rsidP="00BC008E">
      <w:pPr>
        <w:pStyle w:val="BodyText"/>
      </w:pPr>
      <w:r w:rsidRPr="00AD29D4">
        <w:t xml:space="preserve">The skills in this unit must be applied in accordance with Commonwealth and State/Territory legislation, Australian standards and industry codes </w:t>
      </w:r>
      <w:r w:rsidRPr="00AD29D4">
        <w:t>of practice.</w:t>
      </w:r>
    </w:p>
    <w:p w:rsidR="00000000" w:rsidRPr="00AD29D4" w:rsidP="00BC008E">
      <w:pPr>
        <w:pStyle w:val="BodyText"/>
      </w:pPr>
      <w:r w:rsidRPr="00AD29D4">
        <w:t>No occupational licensing, certification or specific legislative requirements apply to this unit at the time of publication.</w:t>
      </w:r>
    </w:p>
    <w:p w:rsidR="00000000" w:rsidRPr="00AD29D4" w:rsidP="00AD29D4">
      <w:pPr>
        <w:pStyle w:val="Heading1"/>
      </w:pPr>
      <w:bookmarkStart w:id="3" w:name="O_1200921"/>
      <w:bookmarkEnd w:id="3"/>
      <w:r w:rsidRPr="00AD29D4">
        <w:t>Pre-requisite Unit</w:t>
      </w:r>
    </w:p>
    <w:p w:rsidR="00BC008E" w:rsidP="00BC008E">
      <w:pPr>
        <w:pStyle w:val="BodyText"/>
      </w:pPr>
      <w:r w:rsidRPr="00AD29D4">
        <w:t xml:space="preserve">Nil </w:t>
      </w:r>
    </w:p>
    <w:p w:rsidR="00000000" w:rsidRPr="00AD29D4" w:rsidP="00AD29D4">
      <w:pPr>
        <w:pStyle w:val="Heading1"/>
      </w:pPr>
      <w:bookmarkStart w:id="4" w:name="O_1200920"/>
      <w:bookmarkEnd w:id="4"/>
      <w:r w:rsidRPr="00AD29D4">
        <w:t>Competency Field</w:t>
      </w:r>
    </w:p>
    <w:p w:rsidR="00000000" w:rsidRPr="00AD29D4" w:rsidP="00BC008E">
      <w:pPr>
        <w:pStyle w:val="BodyText"/>
      </w:pPr>
      <w:r w:rsidRPr="00AD29D4">
        <w:t>Dental Assisting</w:t>
      </w:r>
    </w:p>
    <w:p w:rsidR="00000000" w:rsidRPr="00AD29D4" w:rsidP="00AD29D4">
      <w:pPr>
        <w:pStyle w:val="Heading1"/>
      </w:pPr>
      <w:bookmarkStart w:id="5" w:name="O_1200919"/>
      <w:bookmarkEnd w:id="5"/>
      <w:r w:rsidRPr="00AD29D4">
        <w:t>Un</w:t>
      </w:r>
      <w:r w:rsidRPr="00AD29D4">
        <w:t>it Sector</w:t>
      </w:r>
    </w:p>
    <w:p w:rsidR="00000000" w:rsidRPr="00AD29D4" w:rsidP="00BC008E">
      <w:pPr>
        <w:pStyle w:val="BodyText"/>
      </w:pPr>
      <w:r w:rsidRPr="00AD29D4">
        <w:t>Dental</w:t>
      </w:r>
    </w:p>
    <w:p w:rsidR="00000000" w:rsidRPr="00AD29D4" w:rsidP="00AD29D4">
      <w:pPr>
        <w:pStyle w:val="Heading1"/>
      </w:pPr>
      <w:bookmarkStart w:id="6" w:name="O_1200918"/>
      <w:bookmarkEnd w:id="6"/>
      <w:r w:rsidRPr="00AD29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BodyText"/>
            </w:pPr>
            <w:r w:rsidRPr="00AD29D4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rPr>
                <w:rStyle w:val="SpecialBold"/>
              </w:rPr>
              <w:t>PERFORMANCE</w:t>
            </w:r>
            <w:r w:rsidRPr="00AD29D4">
              <w:t xml:space="preserve"> </w:t>
            </w:r>
            <w:r w:rsidRPr="00AD29D4">
              <w:rPr>
                <w:rStyle w:val="SpecialBold"/>
              </w:rPr>
              <w:t>CRITERIA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BodyText"/>
            </w:pPr>
            <w:r w:rsidRPr="00AD29D4">
              <w:rPr>
                <w:rStyle w:val="Emphasis"/>
              </w:rPr>
              <w:t>Elements describe the essential outcomes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BodyText"/>
              <w:rPr>
                <w:lang w:val="en-NZ"/>
              </w:rPr>
            </w:pPr>
            <w:r w:rsidRPr="00AD29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List"/>
              <w:rPr>
                <w:lang w:val="en-NZ"/>
              </w:rPr>
            </w:pPr>
            <w:r w:rsidRPr="00AD29D4">
              <w:t>1.  Communicate appropriately in a dental administrative setting.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List"/>
            </w:pPr>
            <w:r w:rsidRPr="00AD29D4">
              <w:t>1.1. Present in attire consistent with infection prevention and control guidelines and practice policy for professional presentation.</w:t>
            </w:r>
          </w:p>
          <w:p w:rsidR="00000000" w:rsidRPr="00AD29D4" w:rsidP="00AD29D4">
            <w:pPr>
              <w:pStyle w:val="List"/>
            </w:pPr>
            <w:r w:rsidRPr="00AD29D4">
              <w:t>1.2. Greet patients, carers and other visitors according</w:t>
            </w:r>
            <w:r w:rsidRPr="00AD29D4">
              <w:t xml:space="preserve"> to practice procedures.</w:t>
            </w:r>
          </w:p>
          <w:p w:rsidR="00000000" w:rsidRPr="00AD29D4" w:rsidP="00AD29D4">
            <w:pPr>
              <w:pStyle w:val="List"/>
            </w:pPr>
            <w:r w:rsidRPr="00AD29D4">
              <w:t>1.3. Listen respectfully to enquiries or concerns.</w:t>
            </w:r>
          </w:p>
          <w:p w:rsidR="00000000" w:rsidRPr="00AD29D4" w:rsidP="00AD29D4">
            <w:pPr>
              <w:pStyle w:val="List"/>
            </w:pPr>
            <w:r w:rsidRPr="00AD29D4">
              <w:t>1.4. Respond to enquiries accurately and ethically within scope of responsibility using language which is easily understood.</w:t>
            </w:r>
          </w:p>
          <w:p w:rsidR="00000000" w:rsidRPr="00AD29D4" w:rsidP="00AD29D4">
            <w:pPr>
              <w:pStyle w:val="List"/>
            </w:pPr>
            <w:r w:rsidRPr="00AD29D4">
              <w:t xml:space="preserve">1.5. Refer enquiries outside of area of responsibility </w:t>
            </w:r>
            <w:r w:rsidRPr="00AD29D4">
              <w:t>or knowledge to appropriate person.</w:t>
            </w:r>
          </w:p>
          <w:p w:rsidR="00000000" w:rsidRPr="00AD29D4" w:rsidP="00AD29D4">
            <w:pPr>
              <w:pStyle w:val="List"/>
            </w:pPr>
            <w:r w:rsidRPr="00AD29D4">
              <w:t>1.6. Operate electronic communication equipment to communicate with patients, carers and others in accordance with organisation protocols.</w:t>
            </w:r>
          </w:p>
          <w:p w:rsidR="00000000" w:rsidRPr="00AD29D4" w:rsidP="00AD29D4">
            <w:pPr>
              <w:pStyle w:val="List"/>
            </w:pPr>
            <w:r w:rsidRPr="00AD29D4">
              <w:t>1.7. Prioritise messages and record them legibly and accurately.</w:t>
            </w:r>
          </w:p>
          <w:p w:rsidR="00000000" w:rsidP="00AD29D4">
            <w:pPr>
              <w:pStyle w:val="List"/>
              <w:rPr>
                <w:lang w:val="en-NZ"/>
              </w:rPr>
            </w:pPr>
            <w:r w:rsidRPr="00AD29D4">
              <w:t>1.8. Maintain co</w:t>
            </w:r>
            <w:r w:rsidRPr="00AD29D4">
              <w:t>nfidentiality of information relating to patients, staff and the organisation.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List"/>
              <w:rPr>
                <w:lang w:val="en-NZ"/>
              </w:rPr>
            </w:pPr>
            <w:r w:rsidRPr="00AD29D4">
              <w:t>2.  Allocate appointments appropriate to patient and organisation requirements.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List"/>
            </w:pPr>
            <w:r w:rsidRPr="00AD29D4">
              <w:t>2.1. Identify patients who should be given priority and advance the level of priority for patien</w:t>
            </w:r>
            <w:r w:rsidRPr="00AD29D4">
              <w:t xml:space="preserve">ts who require immediate attention in a dental emergency. </w:t>
            </w:r>
          </w:p>
          <w:p w:rsidR="00000000" w:rsidRPr="00AD29D4" w:rsidP="00AD29D4">
            <w:pPr>
              <w:pStyle w:val="List"/>
            </w:pPr>
            <w:r w:rsidRPr="00AD29D4">
              <w:t>2.2. Identify patient’s appointment requirements.</w:t>
            </w:r>
          </w:p>
          <w:p w:rsidR="00000000" w:rsidRPr="00AD29D4" w:rsidP="00AD29D4">
            <w:pPr>
              <w:pStyle w:val="List"/>
            </w:pPr>
            <w:r w:rsidRPr="00AD29D4">
              <w:t>2.3. Seek agreement on an appointment time that meets patient preferences and organisational requirements.</w:t>
            </w:r>
          </w:p>
          <w:p w:rsidR="00000000" w:rsidRPr="00AD29D4" w:rsidP="00AD29D4">
            <w:pPr>
              <w:pStyle w:val="List"/>
            </w:pPr>
            <w:r w:rsidRPr="00AD29D4">
              <w:t>2.4. Assist with managing patient expectations regarding waiting times for emergency care.</w:t>
            </w:r>
          </w:p>
          <w:p w:rsidR="00000000" w:rsidRPr="00AD29D4" w:rsidP="00AD29D4">
            <w:pPr>
              <w:pStyle w:val="List"/>
            </w:pPr>
            <w:r w:rsidRPr="00AD29D4">
              <w:t>2.5. Use the patient information system to record appointment details accurately and legibly using standard dental notation according to organisational procedures.</w:t>
            </w:r>
          </w:p>
          <w:p w:rsidR="00000000" w:rsidRPr="00AD29D4" w:rsidP="00AD29D4">
            <w:pPr>
              <w:pStyle w:val="List"/>
            </w:pPr>
            <w:r w:rsidRPr="00AD29D4">
              <w:t>2</w:t>
            </w:r>
            <w:r w:rsidRPr="00AD29D4">
              <w:t>.6. Provide a copy of appointment details to the patient.</w:t>
            </w:r>
          </w:p>
          <w:p w:rsidR="00000000" w:rsidP="00AD29D4">
            <w:pPr>
              <w:pStyle w:val="List"/>
              <w:rPr>
                <w:lang w:val="en-NZ"/>
              </w:rPr>
            </w:pPr>
            <w:r w:rsidRPr="00AD29D4">
              <w:t>2.7. Monitor appointment schedules and notify patients and the oral health care team of any necessary changes within required timeframe.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List"/>
              <w:rPr>
                <w:lang w:val="en-NZ"/>
              </w:rPr>
            </w:pPr>
            <w:r w:rsidRPr="00AD29D4">
              <w:t>3.  Process and reconcile patient accounts.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List"/>
            </w:pPr>
            <w:r w:rsidRPr="00AD29D4">
              <w:t>3.1. Cross check</w:t>
            </w:r>
            <w:r w:rsidRPr="00AD29D4">
              <w:t xml:space="preserve"> item code for services received.</w:t>
            </w:r>
          </w:p>
          <w:p w:rsidR="00000000" w:rsidRPr="00AD29D4" w:rsidP="00AD29D4">
            <w:pPr>
              <w:pStyle w:val="List"/>
            </w:pPr>
            <w:r w:rsidRPr="00AD29D4">
              <w:t>3.2. Process payments including any applicable discounts or rebates.</w:t>
            </w:r>
          </w:p>
          <w:p w:rsidR="00000000" w:rsidRPr="00AD29D4" w:rsidP="00AD29D4">
            <w:pPr>
              <w:pStyle w:val="List"/>
            </w:pPr>
            <w:r w:rsidRPr="00AD29D4">
              <w:t>3.3. Check and accurately record payments received.</w:t>
            </w:r>
          </w:p>
          <w:p w:rsidR="00000000" w:rsidRPr="00AD29D4" w:rsidP="00AD29D4">
            <w:pPr>
              <w:pStyle w:val="List"/>
            </w:pPr>
            <w:r w:rsidRPr="00AD29D4">
              <w:t>3.4. Provide the patient with itemised account and receipt.</w:t>
            </w:r>
          </w:p>
          <w:p w:rsidR="00000000" w:rsidRPr="00AD29D4" w:rsidP="00AD29D4">
            <w:pPr>
              <w:pStyle w:val="List"/>
            </w:pPr>
            <w:r w:rsidRPr="00AD29D4">
              <w:t>3.5. Reconcile daily payment totals accor</w:t>
            </w:r>
            <w:r w:rsidRPr="00AD29D4">
              <w:t xml:space="preserve">ding to organisational </w:t>
            </w:r>
            <w:r w:rsidRPr="00AD29D4">
              <w:t>policies and procedures.</w:t>
            </w:r>
          </w:p>
          <w:p w:rsidR="00000000" w:rsidP="00AD29D4">
            <w:pPr>
              <w:pStyle w:val="List"/>
              <w:rPr>
                <w:lang w:val="en-NZ"/>
              </w:rPr>
            </w:pPr>
            <w:r w:rsidRPr="00AD29D4">
              <w:t>3.6. Follow security procedures for handling of cash.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List"/>
              <w:rPr>
                <w:lang w:val="en-NZ"/>
              </w:rPr>
            </w:pPr>
            <w:r w:rsidRPr="00AD29D4">
              <w:t>4.  Maintain patient records.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List"/>
            </w:pPr>
            <w:r w:rsidRPr="00AD29D4">
              <w:t>4.1. Ensure security of passwords and electronic data.</w:t>
            </w:r>
          </w:p>
          <w:p w:rsidR="00000000" w:rsidRPr="00AD29D4" w:rsidP="00AD29D4">
            <w:pPr>
              <w:pStyle w:val="List"/>
            </w:pPr>
            <w:r w:rsidRPr="00AD29D4">
              <w:t>4.2. Access and prepare patient records and make notation of fees an</w:t>
            </w:r>
            <w:r w:rsidRPr="00AD29D4">
              <w:t>d diagnostic records.</w:t>
            </w:r>
          </w:p>
          <w:p w:rsidR="00000000" w:rsidRPr="00AD29D4" w:rsidP="00AD29D4">
            <w:pPr>
              <w:pStyle w:val="List"/>
            </w:pPr>
            <w:r w:rsidRPr="00AD29D4">
              <w:t>4.3. Enter patient information accurately in accordance with organisational procedures.</w:t>
            </w:r>
          </w:p>
          <w:p w:rsidR="00000000" w:rsidRPr="00AD29D4" w:rsidP="00AD29D4">
            <w:pPr>
              <w:pStyle w:val="List"/>
            </w:pPr>
            <w:r w:rsidRPr="00AD29D4">
              <w:t>4.4. Maintain the integrity and confidentiality of patient records.</w:t>
            </w:r>
          </w:p>
          <w:p w:rsidR="00000000" w:rsidP="00AD29D4">
            <w:pPr>
              <w:pStyle w:val="List"/>
              <w:rPr>
                <w:lang w:val="en-NZ"/>
              </w:rPr>
            </w:pPr>
            <w:r w:rsidRPr="00AD29D4">
              <w:t>4.5. Maintain up-to-date, accurate and complete records of laboratory work.</w:t>
            </w:r>
          </w:p>
        </w:tc>
      </w:tr>
      <w:tr w:rsidTr="00AD2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D4">
            <w:pPr>
              <w:pStyle w:val="List"/>
              <w:rPr>
                <w:lang w:val="en-NZ"/>
              </w:rPr>
            </w:pPr>
            <w:r w:rsidRPr="00AD29D4">
              <w:t>5</w:t>
            </w:r>
            <w:r w:rsidRPr="00AD29D4">
              <w:t>.  Assist with patient recalls.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D4" w:rsidP="00AD29D4">
            <w:pPr>
              <w:pStyle w:val="List"/>
            </w:pPr>
            <w:r w:rsidRPr="00AD29D4">
              <w:t>5.1. Access a patient recall system.</w:t>
            </w:r>
          </w:p>
          <w:p w:rsidR="00000000" w:rsidRPr="00AD29D4" w:rsidP="00AD29D4">
            <w:pPr>
              <w:pStyle w:val="List"/>
            </w:pPr>
            <w:r w:rsidRPr="00AD29D4">
              <w:t>5.2. Identify patients due for recall and notify them that an appointment is due.</w:t>
            </w:r>
          </w:p>
          <w:p w:rsidR="00000000" w:rsidRPr="00AD29D4" w:rsidP="00AD29D4">
            <w:pPr>
              <w:pStyle w:val="List"/>
            </w:pPr>
            <w:r w:rsidRPr="00AD29D4">
              <w:t>5.3. Follow-up patients who do not respond to a recall appointment request.</w:t>
            </w:r>
          </w:p>
        </w:tc>
      </w:tr>
    </w:tbl>
    <w:p w:rsidR="00000000" w:rsidRPr="00AD29D4" w:rsidP="00AD29D4">
      <w:pPr>
        <w:pStyle w:val="BodyText"/>
      </w:pPr>
    </w:p>
    <w:p w:rsidR="00000000" w:rsidRPr="00AD29D4" w:rsidP="00AD29D4">
      <w:pPr>
        <w:pStyle w:val="AllowPageBreak"/>
      </w:pPr>
    </w:p>
    <w:p w:rsidR="00000000" w:rsidRPr="00AD29D4" w:rsidP="00AD29D4">
      <w:pPr>
        <w:pStyle w:val="Heading1"/>
      </w:pPr>
      <w:bookmarkStart w:id="7" w:name="O_1200917"/>
      <w:bookmarkEnd w:id="7"/>
      <w:r w:rsidRPr="00AD29D4">
        <w:t>Foundation Skills</w:t>
      </w:r>
    </w:p>
    <w:p w:rsidR="00000000" w:rsidRPr="00AD29D4" w:rsidP="00BC008E">
      <w:pPr>
        <w:pStyle w:val="BodyText"/>
      </w:pPr>
      <w:r w:rsidRPr="00AD29D4">
        <w:t>Foundation skills essential to performance are explicit in the performance criteria of this unit of competency.</w:t>
      </w:r>
    </w:p>
    <w:p w:rsidR="00000000" w:rsidRPr="00AD29D4" w:rsidP="00AD29D4">
      <w:pPr>
        <w:pStyle w:val="Heading1"/>
      </w:pPr>
      <w:bookmarkStart w:id="8" w:name="O_1200916"/>
      <w:bookmarkEnd w:id="8"/>
      <w:r w:rsidRPr="00AD29D4">
        <w:t>Unit Mapping Information</w:t>
      </w:r>
    </w:p>
    <w:p w:rsidR="00000000" w:rsidRPr="00AD29D4" w:rsidP="00BC008E">
      <w:pPr>
        <w:pStyle w:val="BodyText"/>
      </w:pPr>
      <w:r w:rsidRPr="00AD29D4">
        <w:t>HLTDEN017 Assist with administration in dental practice supersedes and is not equi</w:t>
      </w:r>
      <w:r w:rsidRPr="00AD29D4">
        <w:t xml:space="preserve">valent to HLTDEN003 Assist with administration in dental practice. </w:t>
      </w:r>
    </w:p>
    <w:p w:rsidR="00000000" w:rsidRPr="00AD29D4" w:rsidP="00AD29D4">
      <w:pPr>
        <w:pStyle w:val="Heading1"/>
      </w:pPr>
      <w:bookmarkStart w:id="9" w:name="O_1200924"/>
      <w:bookmarkEnd w:id="9"/>
      <w:r w:rsidRPr="00AD29D4">
        <w:t>Links</w:t>
      </w:r>
    </w:p>
    <w:p w:rsidR="00000000" w:rsidRPr="00AD29D4" w:rsidP="00BC008E">
      <w:pPr>
        <w:pStyle w:val="BodyText"/>
      </w:pPr>
      <w:r w:rsidRPr="00AD29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4C0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29D4" w:rsidP="00AD29D4"/>
    <w:sectPr w:rsidSect="00AD29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D4" w:rsidRPr="00BC008E" w:rsidP="00BC0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8E" w:rsidP="00AD2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08E" w:rsidP="00AD2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008E" w:rsidP="00AD2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9D4" w:rsidRPr="00BC008E" w:rsidP="00BC0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8E" w:rsidRPr="002D2AF8" w:rsidP="00AD2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HLTDEN017 Assist with administration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C008E" w:rsidP="00AD2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9D4"/>
  </w:style>
  <w:style w:type="character" w:customStyle="1" w:styleId="Heading1Char">
    <w:name w:val="Heading 1 Char"/>
    <w:basedOn w:val="DefaultParagraphFont"/>
    <w:link w:val="Heading1"/>
    <w:rsid w:val="00AD2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9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29D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D29D4"/>
    <w:rPr>
      <w:b/>
      <w:spacing w:val="0"/>
    </w:rPr>
  </w:style>
  <w:style w:type="character" w:styleId="Emphasis">
    <w:name w:val="Emphasis"/>
    <w:basedOn w:val="DefaultParagraphFont"/>
    <w:qFormat/>
    <w:rsid w:val="00AD29D4"/>
    <w:rPr>
      <w:i/>
    </w:rPr>
  </w:style>
  <w:style w:type="paragraph" w:customStyle="1" w:styleId="SuperHeading">
    <w:name w:val="SuperHeading"/>
    <w:basedOn w:val="Normal"/>
    <w:rsid w:val="00AD2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9D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D29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2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9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9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9D4"/>
  </w:style>
  <w:style w:type="paragraph" w:styleId="TableofFigures">
    <w:name w:val="table of figures"/>
    <w:basedOn w:val="Normal"/>
    <w:next w:val="Normal"/>
    <w:semiHidden/>
    <w:rsid w:val="00AD2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9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29D4"/>
    <w:rPr>
      <w:rFonts w:ascii="Wingdings" w:hAnsi="Wingdings"/>
    </w:rPr>
  </w:style>
  <w:style w:type="paragraph" w:customStyle="1" w:styleId="TableHeading">
    <w:name w:val="Table Heading"/>
    <w:basedOn w:val="HeadingBase"/>
    <w:rsid w:val="00AD2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9D4"/>
    <w:rPr>
      <w:color w:val="0033CC"/>
      <w:u w:val="none"/>
    </w:rPr>
  </w:style>
  <w:style w:type="paragraph" w:customStyle="1" w:styleId="BodyTextRight">
    <w:name w:val="Body Text Right"/>
    <w:basedOn w:val="BodyText"/>
    <w:rsid w:val="00AD2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9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9D4"/>
    <w:rPr>
      <w:sz w:val="32"/>
    </w:rPr>
  </w:style>
  <w:style w:type="paragraph" w:customStyle="1" w:styleId="HeadingProcedure">
    <w:name w:val="Heading Procedure"/>
    <w:basedOn w:val="HeadingBase"/>
    <w:next w:val="Normal"/>
    <w:rsid w:val="00AD2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9D4"/>
    <w:pPr>
      <w:spacing w:before="60" w:after="60"/>
    </w:pPr>
  </w:style>
  <w:style w:type="paragraph" w:styleId="ListContinue">
    <w:name w:val="List Continue"/>
    <w:basedOn w:val="List"/>
    <w:rsid w:val="00AD29D4"/>
    <w:pPr>
      <w:ind w:firstLine="0"/>
    </w:pPr>
  </w:style>
  <w:style w:type="paragraph" w:customStyle="1" w:styleId="ListNote">
    <w:name w:val="List Note"/>
    <w:basedOn w:val="List"/>
    <w:rsid w:val="00AD2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9D4"/>
    <w:rPr>
      <w:rFonts w:ascii="Courier New" w:hAnsi="Courier New"/>
    </w:rPr>
  </w:style>
  <w:style w:type="paragraph" w:customStyle="1" w:styleId="NoteBullet">
    <w:name w:val="Note Bullet"/>
    <w:basedOn w:val="Note"/>
    <w:rsid w:val="00AD2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9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2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9D4"/>
    <w:rPr>
      <w:b/>
      <w:smallCaps/>
    </w:rPr>
  </w:style>
  <w:style w:type="paragraph" w:customStyle="1" w:styleId="TableListNumber">
    <w:name w:val="Table List Number"/>
    <w:basedOn w:val="ListNumber"/>
    <w:rsid w:val="00AD2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9D4"/>
    <w:pPr>
      <w:numPr>
        <w:numId w:val="7"/>
      </w:numPr>
    </w:pPr>
  </w:style>
  <w:style w:type="paragraph" w:customStyle="1" w:styleId="ListAlpha2">
    <w:name w:val="List Alpha 2"/>
    <w:basedOn w:val="List2"/>
    <w:rsid w:val="00AD29D4"/>
    <w:pPr>
      <w:numPr>
        <w:numId w:val="6"/>
      </w:numPr>
    </w:pPr>
  </w:style>
  <w:style w:type="paragraph" w:styleId="List2">
    <w:name w:val="List 2"/>
    <w:basedOn w:val="BodyText"/>
    <w:rsid w:val="00AD2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9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9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29D4"/>
    <w:pPr>
      <w:numPr>
        <w:numId w:val="2"/>
      </w:numPr>
    </w:pPr>
  </w:style>
  <w:style w:type="paragraph" w:styleId="ListContinue2">
    <w:name w:val="List Continue 2"/>
    <w:basedOn w:val="List2"/>
    <w:rsid w:val="00AD29D4"/>
    <w:pPr>
      <w:ind w:firstLine="0"/>
    </w:pPr>
  </w:style>
  <w:style w:type="paragraph" w:styleId="ListContinue3">
    <w:name w:val="List Continue 3"/>
    <w:basedOn w:val="List3"/>
    <w:rsid w:val="00AD29D4"/>
    <w:pPr>
      <w:ind w:left="1021" w:firstLine="0"/>
    </w:pPr>
  </w:style>
  <w:style w:type="paragraph" w:styleId="ListContinue4">
    <w:name w:val="List Continue 4"/>
    <w:basedOn w:val="List4"/>
    <w:rsid w:val="00AD29D4"/>
    <w:pPr>
      <w:ind w:firstLine="0"/>
    </w:pPr>
  </w:style>
  <w:style w:type="paragraph" w:styleId="ListContinue5">
    <w:name w:val="List Continue 5"/>
    <w:basedOn w:val="List5"/>
    <w:rsid w:val="00AD29D4"/>
    <w:pPr>
      <w:ind w:firstLine="0"/>
    </w:pPr>
  </w:style>
  <w:style w:type="paragraph" w:styleId="ListNumber3">
    <w:name w:val="List Number 3"/>
    <w:basedOn w:val="List3"/>
    <w:rsid w:val="00AD29D4"/>
    <w:pPr>
      <w:numPr>
        <w:numId w:val="3"/>
      </w:numPr>
    </w:pPr>
  </w:style>
  <w:style w:type="paragraph" w:styleId="ListNumber4">
    <w:name w:val="List Number 4"/>
    <w:basedOn w:val="List4"/>
    <w:rsid w:val="00AD29D4"/>
    <w:pPr>
      <w:numPr>
        <w:numId w:val="4"/>
      </w:numPr>
    </w:pPr>
  </w:style>
  <w:style w:type="paragraph" w:styleId="ListNumber5">
    <w:name w:val="List Number 5"/>
    <w:basedOn w:val="List5"/>
    <w:rsid w:val="00AD29D4"/>
    <w:pPr>
      <w:numPr>
        <w:numId w:val="5"/>
      </w:numPr>
    </w:pPr>
  </w:style>
  <w:style w:type="paragraph" w:styleId="BlockText">
    <w:name w:val="Block Text"/>
    <w:basedOn w:val="Normal"/>
    <w:rsid w:val="00AD2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9D4"/>
    <w:rPr>
      <w:sz w:val="16"/>
      <w:vertAlign w:val="superscript"/>
    </w:rPr>
  </w:style>
  <w:style w:type="character" w:customStyle="1" w:styleId="Symbols">
    <w:name w:val="Symbols"/>
    <w:basedOn w:val="DefaultParagraphFont"/>
    <w:rsid w:val="00AD29D4"/>
    <w:rPr>
      <w:rFonts w:ascii="Symbol" w:hAnsi="Symbol"/>
    </w:rPr>
  </w:style>
  <w:style w:type="character" w:customStyle="1" w:styleId="MenuOptions">
    <w:name w:val="Menu Options"/>
    <w:basedOn w:val="DefaultParagraphFont"/>
    <w:rsid w:val="00AD2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9D4"/>
    <w:rPr>
      <w:b/>
    </w:rPr>
  </w:style>
  <w:style w:type="character" w:customStyle="1" w:styleId="Underlined">
    <w:name w:val="Underlined"/>
    <w:basedOn w:val="DefaultParagraphFont"/>
    <w:rsid w:val="00AD29D4"/>
    <w:rPr>
      <w:u w:val="single"/>
    </w:rPr>
  </w:style>
  <w:style w:type="paragraph" w:customStyle="1" w:styleId="TableBodyTextRight">
    <w:name w:val="Table Body Text Right"/>
    <w:basedOn w:val="TableBodyText"/>
    <w:rsid w:val="00AD2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9D4"/>
    <w:rPr>
      <w:sz w:val="18"/>
    </w:rPr>
  </w:style>
  <w:style w:type="paragraph" w:customStyle="1" w:styleId="BodySmallRight">
    <w:name w:val="Body Small Right"/>
    <w:basedOn w:val="BodyTextRight"/>
    <w:rsid w:val="00AD29D4"/>
    <w:rPr>
      <w:sz w:val="18"/>
      <w:szCs w:val="18"/>
    </w:rPr>
  </w:style>
  <w:style w:type="paragraph" w:customStyle="1" w:styleId="MarginEdition">
    <w:name w:val="Margin Edition"/>
    <w:basedOn w:val="MarginNote"/>
    <w:rsid w:val="00AD2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9D4"/>
    <w:rPr>
      <w:sz w:val="2"/>
      <w:szCs w:val="2"/>
    </w:rPr>
  </w:style>
  <w:style w:type="character" w:customStyle="1" w:styleId="Small">
    <w:name w:val="Small"/>
    <w:basedOn w:val="DefaultParagraphFont"/>
    <w:rsid w:val="00AD29D4"/>
    <w:rPr>
      <w:sz w:val="16"/>
    </w:rPr>
  </w:style>
  <w:style w:type="paragraph" w:customStyle="1" w:styleId="WideTable">
    <w:name w:val="Wide Table"/>
    <w:basedOn w:val="Normal"/>
    <w:rsid w:val="00AD2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9D4"/>
  </w:style>
  <w:style w:type="paragraph" w:styleId="Quote">
    <w:name w:val="Quote"/>
    <w:basedOn w:val="Heading1"/>
    <w:link w:val="QuoteChar"/>
    <w:qFormat/>
    <w:rsid w:val="00AD2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9D4"/>
    <w:pPr>
      <w:pageBreakBefore/>
    </w:pPr>
  </w:style>
  <w:style w:type="paragraph" w:customStyle="1" w:styleId="Border">
    <w:name w:val="Border"/>
    <w:basedOn w:val="Normal"/>
    <w:qFormat/>
    <w:rsid w:val="00AD2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9D4"/>
    <w:rPr>
      <w:u w:val="single"/>
    </w:rPr>
  </w:style>
  <w:style w:type="character" w:customStyle="1" w:styleId="BoldandItalics">
    <w:name w:val="Bold and Italics"/>
    <w:qFormat/>
    <w:rsid w:val="00AD29D4"/>
    <w:rPr>
      <w:b/>
      <w:i/>
      <w:u w:val="none"/>
    </w:rPr>
  </w:style>
  <w:style w:type="paragraph" w:styleId="BalloonText">
    <w:name w:val="Balloon Text"/>
    <w:basedOn w:val="Normal"/>
    <w:link w:val="BalloonTextChar"/>
    <w:rsid w:val="00AD2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9D4"/>
    <w:pPr>
      <w:spacing w:before="0" w:after="0"/>
    </w:pPr>
  </w:style>
  <w:style w:type="paragraph" w:customStyle="1" w:styleId="BodyTextBold">
    <w:name w:val="Body Text Bold"/>
    <w:basedOn w:val="BodyText"/>
    <w:qFormat/>
    <w:rsid w:val="00AD29D4"/>
    <w:rPr>
      <w:b/>
    </w:rPr>
  </w:style>
  <w:style w:type="character" w:styleId="Hyperlink">
    <w:name w:val="Hyperlink"/>
    <w:basedOn w:val="DefaultParagraphFont"/>
    <w:uiPriority w:val="99"/>
    <w:unhideWhenUsed/>
    <w:rsid w:val="00BC0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4216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HLTDEN017 Assist with administration in dental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