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04E" w:rsidP="00B41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HLTDEN017 Assist with administration in dental practice</w:t>
      </w:r>
      <w:r>
        <w:fldChar w:fldCharType="end"/>
      </w:r>
    </w:p>
    <w:p w:rsidR="00B4104E" w:rsidP="00B4104E">
      <w:pPr>
        <w:pStyle w:val="Version"/>
        <w:sectPr w:rsidSect="005B4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4E04" w:rsidP="005B4E04">
      <w:pPr>
        <w:pStyle w:val="SuperHeading"/>
      </w:pPr>
      <w:r w:rsidRPr="005B4E04">
        <w:t>HLTDEN017 Assist with administration in dental practice</w:t>
      </w:r>
    </w:p>
    <w:p w:rsidR="00000000" w:rsidRPr="005B4E04" w:rsidP="005B4E04">
      <w:pPr>
        <w:pStyle w:val="Heading1"/>
      </w:pPr>
      <w:bookmarkStart w:id="1" w:name="O_1200923"/>
      <w:bookmarkEnd w:id="1"/>
      <w:r w:rsidRPr="005B4E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4E04" w:rsidP="005B4E04">
            <w:pPr>
              <w:pStyle w:val="BodyText"/>
            </w:pPr>
            <w:r w:rsidRPr="005B4E0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4E04">
            <w:pPr>
              <w:pStyle w:val="BodyText"/>
              <w:rPr>
                <w:lang w:val="en-NZ"/>
              </w:rPr>
            </w:pPr>
            <w:r w:rsidRPr="005B4E04">
              <w:rPr>
                <w:rStyle w:val="SpecialBold"/>
              </w:rPr>
              <w:t>Comments</w:t>
            </w:r>
          </w:p>
        </w:tc>
      </w:tr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04">
            <w:pPr>
              <w:pStyle w:val="BodyText"/>
              <w:rPr>
                <w:lang w:val="en-NZ"/>
              </w:rPr>
            </w:pPr>
            <w:r w:rsidRPr="005B4E0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04" w:rsidP="005B4E04">
            <w:pPr>
              <w:pStyle w:val="BodyText"/>
            </w:pPr>
            <w:r w:rsidRPr="005B4E04">
              <w:t>Release 2 HLTDEN017 Assist with administration in dental practice supersedes and is equivalent to Release 1 HLTDEN017 Assist with administration in dental practice.</w:t>
            </w:r>
          </w:p>
          <w:p w:rsidR="00000000" w:rsidRPr="005B4E04" w:rsidP="005B4E04">
            <w:pPr>
              <w:pStyle w:val="BodyText"/>
            </w:pPr>
            <w:r w:rsidRPr="005B4E04">
              <w:t>Updated:</w:t>
            </w:r>
          </w:p>
          <w:p w:rsidR="00000000" w:rsidP="005B4E04">
            <w:pPr>
              <w:pStyle w:val="BodyText"/>
              <w:rPr>
                <w:lang w:val="en-NZ"/>
              </w:rPr>
            </w:pPr>
            <w:r w:rsidRPr="005B4E04">
              <w:t>Mapping details</w:t>
            </w:r>
            <w:r w:rsidRPr="005B4E04">
              <w:t xml:space="preserve"> and minor corrections.</w:t>
            </w:r>
          </w:p>
        </w:tc>
      </w:tr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04">
            <w:pPr>
              <w:pStyle w:val="BodyText"/>
              <w:rPr>
                <w:lang w:val="en-NZ"/>
              </w:rPr>
            </w:pPr>
            <w:r w:rsidRPr="005B4E0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04" w:rsidP="005B4E04">
            <w:pPr>
              <w:pStyle w:val="BodyText"/>
            </w:pPr>
            <w:r w:rsidRPr="005B4E04">
              <w:t>HLTDEN017 Assist with administration in dental practice supersedes and is not equivalent to HLTDEN003 Assist with administration in dental practice.</w:t>
            </w:r>
          </w:p>
        </w:tc>
      </w:tr>
    </w:tbl>
    <w:p w:rsidR="00000000" w:rsidRPr="005B4E04" w:rsidP="005B4E04">
      <w:pPr>
        <w:pStyle w:val="BodyText"/>
      </w:pPr>
    </w:p>
    <w:p w:rsidR="00000000" w:rsidRPr="005B4E04" w:rsidP="005B4E04">
      <w:pPr>
        <w:pStyle w:val="AllowPageBreak"/>
      </w:pPr>
    </w:p>
    <w:p w:rsidR="00000000" w:rsidRPr="005B4E04" w:rsidP="005B4E04">
      <w:pPr>
        <w:pStyle w:val="Heading1"/>
      </w:pPr>
      <w:bookmarkStart w:id="2" w:name="O_1200922"/>
      <w:bookmarkEnd w:id="2"/>
      <w:r w:rsidRPr="005B4E04">
        <w:t>Application</w:t>
      </w:r>
    </w:p>
    <w:p w:rsidR="00000000" w:rsidRPr="005B4E04" w:rsidP="00B4104E">
      <w:pPr>
        <w:pStyle w:val="BodyText"/>
      </w:pPr>
      <w:r w:rsidRPr="005B4E04">
        <w:t>This unit of competency describes the performance outcomes, skills and knowledge required for a dental assistant to assist the practitioner by managing appointments to suit the patient and the organisation, recording and reconciling payments, and maintaini</w:t>
      </w:r>
      <w:r w:rsidRPr="005B4E04">
        <w:t>ng patient records.</w:t>
      </w:r>
    </w:p>
    <w:p w:rsidR="00000000" w:rsidRPr="005B4E04" w:rsidP="00B4104E">
      <w:pPr>
        <w:pStyle w:val="BodyText"/>
      </w:pPr>
      <w:r w:rsidRPr="005B4E04">
        <w:t xml:space="preserve">This unit applies to dental assistants who assist with administration in dental practice. </w:t>
      </w:r>
    </w:p>
    <w:p w:rsidR="00000000" w:rsidRPr="005B4E04" w:rsidP="00B4104E">
      <w:pPr>
        <w:pStyle w:val="BodyText"/>
      </w:pPr>
      <w:r w:rsidRPr="005B4E04">
        <w:t xml:space="preserve">The skills in this unit must be applied in accordance with Commonwealth and State/Territory legislation, Australian standards and industry codes </w:t>
      </w:r>
      <w:r w:rsidRPr="005B4E04">
        <w:t>of practice.</w:t>
      </w:r>
    </w:p>
    <w:p w:rsidR="00000000" w:rsidRPr="005B4E04" w:rsidP="00B4104E">
      <w:pPr>
        <w:pStyle w:val="BodyText"/>
      </w:pPr>
      <w:r w:rsidRPr="005B4E04">
        <w:t>No occupational licensing, certification or specific legislative requirements apply to this unit at the time of publication.</w:t>
      </w:r>
    </w:p>
    <w:p w:rsidR="00000000" w:rsidRPr="005B4E04" w:rsidP="005B4E04">
      <w:pPr>
        <w:pStyle w:val="Heading1"/>
      </w:pPr>
      <w:bookmarkStart w:id="3" w:name="O_1200921"/>
      <w:bookmarkEnd w:id="3"/>
      <w:r w:rsidRPr="005B4E04">
        <w:t>Pre-requisite Unit</w:t>
      </w:r>
    </w:p>
    <w:p w:rsidR="00B4104E" w:rsidP="00B4104E">
      <w:pPr>
        <w:pStyle w:val="BodyText"/>
      </w:pPr>
      <w:r w:rsidRPr="005B4E04">
        <w:t xml:space="preserve">Nil </w:t>
      </w:r>
    </w:p>
    <w:p w:rsidR="00000000" w:rsidRPr="005B4E04" w:rsidP="005B4E04">
      <w:pPr>
        <w:pStyle w:val="Heading1"/>
      </w:pPr>
      <w:bookmarkStart w:id="4" w:name="O_1200920"/>
      <w:bookmarkEnd w:id="4"/>
      <w:r w:rsidRPr="005B4E04">
        <w:t>Competency Field</w:t>
      </w:r>
    </w:p>
    <w:p w:rsidR="00000000" w:rsidRPr="005B4E04" w:rsidP="00B4104E">
      <w:pPr>
        <w:pStyle w:val="BodyText"/>
      </w:pPr>
      <w:r w:rsidRPr="005B4E04">
        <w:t>Dental Assisting</w:t>
      </w:r>
    </w:p>
    <w:p w:rsidR="00000000" w:rsidRPr="005B4E04" w:rsidP="005B4E04">
      <w:pPr>
        <w:pStyle w:val="Heading1"/>
      </w:pPr>
      <w:bookmarkStart w:id="5" w:name="O_1200919"/>
      <w:bookmarkEnd w:id="5"/>
      <w:r w:rsidRPr="005B4E04">
        <w:t>Un</w:t>
      </w:r>
      <w:r w:rsidRPr="005B4E04">
        <w:t>it Sector</w:t>
      </w:r>
    </w:p>
    <w:p w:rsidR="00000000" w:rsidRPr="005B4E04" w:rsidP="00B4104E">
      <w:pPr>
        <w:pStyle w:val="BodyText"/>
      </w:pPr>
      <w:r w:rsidRPr="005B4E04">
        <w:t>Dental</w:t>
      </w:r>
    </w:p>
    <w:p w:rsidR="00000000" w:rsidRPr="005B4E04" w:rsidP="005B4E04">
      <w:pPr>
        <w:pStyle w:val="Heading1"/>
      </w:pPr>
      <w:bookmarkStart w:id="6" w:name="O_1200918"/>
      <w:bookmarkEnd w:id="6"/>
      <w:r w:rsidRPr="005B4E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54"/>
      </w:tblGrid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04" w:rsidP="005B4E04">
            <w:pPr>
              <w:pStyle w:val="BodyText"/>
            </w:pPr>
            <w:r w:rsidRPr="005B4E04">
              <w:rPr>
                <w:rStyle w:val="SpecialBold"/>
              </w:rPr>
              <w:t>ELEMENTS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04">
            <w:pPr>
              <w:pStyle w:val="BodyText"/>
              <w:rPr>
                <w:lang w:val="en-NZ"/>
              </w:rPr>
            </w:pPr>
            <w:r w:rsidRPr="005B4E04">
              <w:rPr>
                <w:rStyle w:val="SpecialBold"/>
              </w:rPr>
              <w:t>PERFORMANCE</w:t>
            </w:r>
            <w:r w:rsidRPr="005B4E04">
              <w:t xml:space="preserve"> </w:t>
            </w:r>
            <w:r w:rsidRPr="005B4E04">
              <w:rPr>
                <w:rStyle w:val="SpecialBold"/>
              </w:rPr>
              <w:t>CRITERIA</w:t>
            </w:r>
          </w:p>
        </w:tc>
      </w:tr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04" w:rsidP="005B4E04">
            <w:pPr>
              <w:pStyle w:val="BodyText"/>
            </w:pPr>
            <w:r w:rsidRPr="005B4E04">
              <w:rPr>
                <w:rStyle w:val="Emphasis"/>
              </w:rPr>
              <w:t>Elements describe the essential outcomes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04">
            <w:pPr>
              <w:pStyle w:val="BodyText"/>
              <w:rPr>
                <w:lang w:val="en-NZ"/>
              </w:rPr>
            </w:pPr>
            <w:r w:rsidRPr="005B4E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04">
            <w:pPr>
              <w:pStyle w:val="List"/>
              <w:rPr>
                <w:lang w:val="en-NZ"/>
              </w:rPr>
            </w:pPr>
            <w:r w:rsidRPr="005B4E04">
              <w:t>1.  Communicate appropriately in a dental administrative setting.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04" w:rsidP="005B4E04">
            <w:pPr>
              <w:pStyle w:val="List"/>
            </w:pPr>
            <w:r w:rsidRPr="005B4E04">
              <w:t>1.1. Present in attire consistent with infection prevention and control guidelines and practice policy for professional presentation.</w:t>
            </w:r>
          </w:p>
          <w:p w:rsidR="00000000" w:rsidRPr="005B4E04" w:rsidP="005B4E04">
            <w:pPr>
              <w:pStyle w:val="List"/>
            </w:pPr>
            <w:r w:rsidRPr="005B4E04">
              <w:t>1.2. Greet patients, carers and other visitors according</w:t>
            </w:r>
            <w:r w:rsidRPr="005B4E04">
              <w:t xml:space="preserve"> to practice procedures.</w:t>
            </w:r>
          </w:p>
          <w:p w:rsidR="00000000" w:rsidRPr="005B4E04" w:rsidP="005B4E04">
            <w:pPr>
              <w:pStyle w:val="List"/>
            </w:pPr>
            <w:r w:rsidRPr="005B4E04">
              <w:t>1.3. Listen respectfully to enquiries or concerns.</w:t>
            </w:r>
          </w:p>
          <w:p w:rsidR="00000000" w:rsidRPr="005B4E04" w:rsidP="005B4E04">
            <w:pPr>
              <w:pStyle w:val="List"/>
            </w:pPr>
            <w:r w:rsidRPr="005B4E04">
              <w:t>1.4. Respond to enquiries accurately and ethically within scope of responsibility using language which is easily understood.</w:t>
            </w:r>
          </w:p>
          <w:p w:rsidR="00000000" w:rsidRPr="005B4E04" w:rsidP="005B4E04">
            <w:pPr>
              <w:pStyle w:val="List"/>
            </w:pPr>
            <w:r w:rsidRPr="005B4E04">
              <w:t xml:space="preserve">1.5. Refer enquiries outside of area of responsibility </w:t>
            </w:r>
            <w:r w:rsidRPr="005B4E04">
              <w:t>or knowledge to appropriate person.</w:t>
            </w:r>
          </w:p>
          <w:p w:rsidR="00000000" w:rsidRPr="005B4E04" w:rsidP="005B4E04">
            <w:pPr>
              <w:pStyle w:val="List"/>
            </w:pPr>
            <w:r w:rsidRPr="005B4E04">
              <w:t>1.6. Operate electronic communication equipment to communicate with patients, carers and others in accordance with organisation protocols.</w:t>
            </w:r>
          </w:p>
          <w:p w:rsidR="00000000" w:rsidRPr="005B4E04" w:rsidP="005B4E04">
            <w:pPr>
              <w:pStyle w:val="List"/>
            </w:pPr>
            <w:r w:rsidRPr="005B4E04">
              <w:t>1.7. Prioritise messages and record them legibly and accurately.</w:t>
            </w:r>
          </w:p>
          <w:p w:rsidR="00000000" w:rsidP="005B4E04">
            <w:pPr>
              <w:pStyle w:val="List"/>
              <w:rPr>
                <w:lang w:val="en-NZ"/>
              </w:rPr>
            </w:pPr>
            <w:r w:rsidRPr="005B4E04">
              <w:t>1.8. Maintain co</w:t>
            </w:r>
            <w:r w:rsidRPr="005B4E04">
              <w:t>nfidentiality of information relating to patients, staff and the organisation.</w:t>
            </w:r>
          </w:p>
        </w:tc>
      </w:tr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04">
            <w:pPr>
              <w:pStyle w:val="List"/>
              <w:rPr>
                <w:lang w:val="en-NZ"/>
              </w:rPr>
            </w:pPr>
            <w:r w:rsidRPr="005B4E04">
              <w:t>2.  Allocate appointments appropriate to patient and organisation requirements.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04" w:rsidP="005B4E04">
            <w:pPr>
              <w:pStyle w:val="List"/>
            </w:pPr>
            <w:r w:rsidRPr="005B4E04">
              <w:t>2.1. Identify patients who should be given priority and advance the level of pr</w:t>
            </w:r>
            <w:r w:rsidRPr="005B4E04">
              <w:t xml:space="preserve">iority for patients who require immediate attention in a dental emergency. </w:t>
            </w:r>
          </w:p>
          <w:p w:rsidR="00000000" w:rsidRPr="005B4E04" w:rsidP="005B4E04">
            <w:pPr>
              <w:pStyle w:val="List"/>
            </w:pPr>
            <w:r w:rsidRPr="005B4E04">
              <w:t>2.2. Identify patient’s appointment requirements.</w:t>
            </w:r>
          </w:p>
          <w:p w:rsidR="00000000" w:rsidRPr="005B4E04" w:rsidP="005B4E04">
            <w:pPr>
              <w:pStyle w:val="List"/>
            </w:pPr>
            <w:r w:rsidRPr="005B4E04">
              <w:t>2.3. Seek agreement on an appointment time that meets patient preferences and organisational requirements.</w:t>
            </w:r>
          </w:p>
          <w:p w:rsidR="00000000" w:rsidRPr="005B4E04" w:rsidP="005B4E04">
            <w:pPr>
              <w:pStyle w:val="List"/>
            </w:pPr>
            <w:r w:rsidRPr="005B4E04">
              <w:t>2.4. Assist with managi</w:t>
            </w:r>
            <w:r w:rsidRPr="005B4E04">
              <w:t>ng patient expectations regarding waiting times for emergency care.</w:t>
            </w:r>
          </w:p>
          <w:p w:rsidR="00000000" w:rsidRPr="005B4E04" w:rsidP="005B4E04">
            <w:pPr>
              <w:pStyle w:val="List"/>
            </w:pPr>
            <w:r w:rsidRPr="005B4E04">
              <w:t>2.5. Use the patient information system to record appointment details accurately and legibly using standard dental notation according to organisational procedures.</w:t>
            </w:r>
          </w:p>
          <w:p w:rsidR="00000000" w:rsidRPr="005B4E04" w:rsidP="005B4E04">
            <w:pPr>
              <w:pStyle w:val="List"/>
            </w:pPr>
            <w:r w:rsidRPr="005B4E04">
              <w:t>2.6. Provide a copy of a</w:t>
            </w:r>
            <w:r w:rsidRPr="005B4E04">
              <w:t>ppointment details to the patient.</w:t>
            </w:r>
          </w:p>
          <w:p w:rsidR="00000000" w:rsidP="005B4E04">
            <w:pPr>
              <w:pStyle w:val="List"/>
              <w:rPr>
                <w:lang w:val="en-NZ"/>
              </w:rPr>
            </w:pPr>
            <w:r w:rsidRPr="005B4E04">
              <w:t>2.7. Monitor appointment schedules and notify patients and the oral health care team of any necessary changes within required timeframe.</w:t>
            </w:r>
          </w:p>
        </w:tc>
      </w:tr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04">
            <w:pPr>
              <w:pStyle w:val="List"/>
              <w:rPr>
                <w:lang w:val="en-NZ"/>
              </w:rPr>
            </w:pPr>
            <w:r w:rsidRPr="005B4E04">
              <w:t>3.  Process and reconcile patient accounts.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04" w:rsidP="005B4E04">
            <w:pPr>
              <w:pStyle w:val="List"/>
            </w:pPr>
            <w:r w:rsidRPr="005B4E04">
              <w:t>3.1. Cross check item code for services</w:t>
            </w:r>
            <w:r w:rsidRPr="005B4E04">
              <w:t xml:space="preserve"> received.</w:t>
            </w:r>
          </w:p>
          <w:p w:rsidR="00000000" w:rsidRPr="005B4E04" w:rsidP="005B4E04">
            <w:pPr>
              <w:pStyle w:val="List"/>
            </w:pPr>
            <w:r w:rsidRPr="005B4E04">
              <w:t>3.2. Process payments including any applicable discounts or rebates.</w:t>
            </w:r>
          </w:p>
          <w:p w:rsidR="00000000" w:rsidRPr="005B4E04" w:rsidP="005B4E04">
            <w:pPr>
              <w:pStyle w:val="List"/>
            </w:pPr>
            <w:r w:rsidRPr="005B4E04">
              <w:t>3.3. Check and accurately record payments received.</w:t>
            </w:r>
          </w:p>
          <w:p w:rsidR="00000000" w:rsidRPr="005B4E04" w:rsidP="005B4E04">
            <w:pPr>
              <w:pStyle w:val="List"/>
            </w:pPr>
            <w:r w:rsidRPr="005B4E04">
              <w:t>3.4. Provide the patient with itemised account and receipt.</w:t>
            </w:r>
          </w:p>
          <w:p w:rsidR="00000000" w:rsidRPr="005B4E04" w:rsidP="005B4E04">
            <w:pPr>
              <w:pStyle w:val="List"/>
            </w:pPr>
            <w:r w:rsidRPr="005B4E04">
              <w:t xml:space="preserve">3.5. Reconcile daily payment totals according to organisational </w:t>
            </w:r>
            <w:r w:rsidRPr="005B4E04">
              <w:t>policies and procedures.</w:t>
            </w:r>
          </w:p>
          <w:p w:rsidR="00000000" w:rsidP="005B4E04">
            <w:pPr>
              <w:pStyle w:val="List"/>
              <w:rPr>
                <w:lang w:val="en-NZ"/>
              </w:rPr>
            </w:pPr>
            <w:r w:rsidRPr="005B4E04">
              <w:t>3.6. Follow security procedures for handling of cash.</w:t>
            </w:r>
          </w:p>
        </w:tc>
      </w:tr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04">
            <w:pPr>
              <w:pStyle w:val="List"/>
              <w:rPr>
                <w:lang w:val="en-NZ"/>
              </w:rPr>
            </w:pPr>
            <w:r w:rsidRPr="005B4E04">
              <w:t>4.  Maintain patient records.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04" w:rsidP="005B4E04">
            <w:pPr>
              <w:pStyle w:val="List"/>
            </w:pPr>
            <w:r w:rsidRPr="005B4E04">
              <w:t>4.1. Ensure security of passwords and electronic data.</w:t>
            </w:r>
          </w:p>
          <w:p w:rsidR="00000000" w:rsidRPr="005B4E04" w:rsidP="005B4E04">
            <w:pPr>
              <w:pStyle w:val="List"/>
            </w:pPr>
            <w:r w:rsidRPr="005B4E04">
              <w:t>4.2. Access and prepare patient records and make notation of fees and diagnostic records.</w:t>
            </w:r>
          </w:p>
          <w:p w:rsidR="00000000" w:rsidRPr="005B4E04" w:rsidP="005B4E04">
            <w:pPr>
              <w:pStyle w:val="List"/>
            </w:pPr>
            <w:r w:rsidRPr="005B4E04">
              <w:t>4.3. Enter patient information accurately in accordance with organisational procedures.</w:t>
            </w:r>
          </w:p>
          <w:p w:rsidR="00000000" w:rsidRPr="005B4E04" w:rsidP="005B4E04">
            <w:pPr>
              <w:pStyle w:val="List"/>
            </w:pPr>
            <w:r w:rsidRPr="005B4E04">
              <w:t>4.4. Maintain the integrity and confidentiality of patient records.</w:t>
            </w:r>
          </w:p>
          <w:p w:rsidR="00000000" w:rsidP="005B4E04">
            <w:pPr>
              <w:pStyle w:val="List"/>
              <w:rPr>
                <w:lang w:val="en-NZ"/>
              </w:rPr>
            </w:pPr>
            <w:r w:rsidRPr="005B4E04">
              <w:t>4.5. Maintain up-to-date, accurate and complete records of laboratory work.</w:t>
            </w:r>
          </w:p>
        </w:tc>
      </w:tr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04">
            <w:pPr>
              <w:pStyle w:val="List"/>
              <w:rPr>
                <w:lang w:val="en-NZ"/>
              </w:rPr>
            </w:pPr>
            <w:r w:rsidRPr="005B4E04">
              <w:t>5.  Assist with patient</w:t>
            </w:r>
            <w:r w:rsidRPr="005B4E04">
              <w:t xml:space="preserve"> recalls.</w:t>
            </w:r>
          </w:p>
        </w:tc>
        <w:tc>
          <w:tcPr>
            <w:tcW w:w="62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04" w:rsidP="005B4E04">
            <w:pPr>
              <w:pStyle w:val="List"/>
            </w:pPr>
            <w:r w:rsidRPr="005B4E04">
              <w:t>5.1. Access a patient recall system.</w:t>
            </w:r>
          </w:p>
          <w:p w:rsidR="00000000" w:rsidRPr="005B4E04" w:rsidP="005B4E04">
            <w:pPr>
              <w:pStyle w:val="List"/>
            </w:pPr>
            <w:r w:rsidRPr="005B4E04">
              <w:t>5.2. Identify patients due for recall and notify them that an appointment is due.</w:t>
            </w:r>
          </w:p>
          <w:p w:rsidR="00000000" w:rsidRPr="005B4E04" w:rsidP="005B4E04">
            <w:pPr>
              <w:pStyle w:val="List"/>
            </w:pPr>
            <w:r w:rsidRPr="005B4E04">
              <w:t>5.3. Follow-up patients who do not respond to a recall appointment request.</w:t>
            </w:r>
          </w:p>
        </w:tc>
      </w:tr>
    </w:tbl>
    <w:p w:rsidR="00000000" w:rsidRPr="005B4E04" w:rsidP="005B4E04">
      <w:pPr>
        <w:pStyle w:val="BodyText"/>
      </w:pPr>
    </w:p>
    <w:p w:rsidR="00000000" w:rsidRPr="005B4E04" w:rsidP="005B4E04">
      <w:pPr>
        <w:pStyle w:val="AllowPageBreak"/>
      </w:pPr>
    </w:p>
    <w:p w:rsidR="00000000" w:rsidRPr="005B4E04" w:rsidP="005B4E04">
      <w:pPr>
        <w:pStyle w:val="Heading1"/>
      </w:pPr>
      <w:bookmarkStart w:id="7" w:name="O_1200917"/>
      <w:bookmarkEnd w:id="7"/>
      <w:r w:rsidRPr="005B4E04">
        <w:t>Foundation Skills</w:t>
      </w:r>
    </w:p>
    <w:p w:rsidR="00000000" w:rsidRPr="005B4E04" w:rsidP="00B4104E">
      <w:pPr>
        <w:pStyle w:val="BodyText"/>
      </w:pPr>
      <w:r w:rsidRPr="005B4E04">
        <w:t>Foundation s</w:t>
      </w:r>
      <w:r w:rsidRPr="005B4E04">
        <w:t>kills essential to performance are explicit in the performance criteria of this unit of competency.</w:t>
      </w:r>
    </w:p>
    <w:p w:rsidR="00000000" w:rsidRPr="005B4E04" w:rsidP="005B4E04">
      <w:pPr>
        <w:pStyle w:val="Heading1"/>
      </w:pPr>
      <w:bookmarkStart w:id="8" w:name="O_1200916"/>
      <w:bookmarkEnd w:id="8"/>
      <w:r w:rsidRPr="005B4E04">
        <w:t>Unit Mapping Information</w:t>
      </w:r>
    </w:p>
    <w:p w:rsidR="00000000" w:rsidRPr="005B4E04" w:rsidP="00B4104E">
      <w:pPr>
        <w:pStyle w:val="BodyText"/>
      </w:pPr>
      <w:r w:rsidRPr="005B4E04">
        <w:t>HLTDEN017 Assist with administration in dental practice supersedes and is not equivalent to HLTDEN003 Assist wit</w:t>
      </w:r>
      <w:r w:rsidRPr="005B4E04">
        <w:t xml:space="preserve">h administration in dental practice. </w:t>
      </w:r>
    </w:p>
    <w:p w:rsidR="00000000" w:rsidRPr="005B4E04" w:rsidP="005B4E04">
      <w:pPr>
        <w:pStyle w:val="Heading1"/>
      </w:pPr>
      <w:bookmarkStart w:id="9" w:name="O_1200924"/>
      <w:bookmarkEnd w:id="9"/>
      <w:r w:rsidRPr="005B4E04">
        <w:t>Links</w:t>
      </w:r>
    </w:p>
    <w:p w:rsidR="00000000" w:rsidRPr="005B4E04" w:rsidP="00B4104E">
      <w:pPr>
        <w:pStyle w:val="BodyText"/>
      </w:pPr>
      <w:r w:rsidRPr="005B4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636E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B4E04" w:rsidP="00B4104E">
      <w:pPr>
        <w:pStyle w:val="BodyText"/>
        <w:sectPr w:rsidSect="005B4E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4E04" w:rsidP="005B4E04">
      <w:pPr>
        <w:pStyle w:val="SuperHeading"/>
      </w:pPr>
      <w:r w:rsidRPr="005B4E04">
        <w:t>Assessment Requirements for HLTDEN017 Assist with administration in dental practice</w:t>
      </w:r>
    </w:p>
    <w:p w:rsidR="00000000" w:rsidRPr="005B4E04" w:rsidP="005B4E04">
      <w:pPr>
        <w:pStyle w:val="Heading1"/>
      </w:pPr>
      <w:bookmarkStart w:id="10" w:name="O_1200914"/>
      <w:bookmarkEnd w:id="10"/>
      <w:r w:rsidRPr="005B4E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4E04" w:rsidP="005B4E04">
            <w:pPr>
              <w:pStyle w:val="BodyText"/>
            </w:pPr>
            <w:r w:rsidRPr="005B4E0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4E04">
            <w:pPr>
              <w:pStyle w:val="BodyText"/>
              <w:rPr>
                <w:lang w:val="en-NZ"/>
              </w:rPr>
            </w:pPr>
            <w:r w:rsidRPr="005B4E04">
              <w:rPr>
                <w:rStyle w:val="SpecialBold"/>
              </w:rPr>
              <w:t>Comments</w:t>
            </w:r>
          </w:p>
        </w:tc>
      </w:tr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04">
            <w:pPr>
              <w:pStyle w:val="BodyText"/>
              <w:rPr>
                <w:lang w:val="en-NZ"/>
              </w:rPr>
            </w:pPr>
            <w:r w:rsidRPr="005B4E0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04" w:rsidP="005B4E04">
            <w:pPr>
              <w:pStyle w:val="BodyText"/>
            </w:pPr>
            <w:r w:rsidRPr="005B4E04">
              <w:t>Release 2 HLTDEN017 Assist with administration in dental practice supersedes and is equivalent to Release 1 HLTDEN017 Assist with administration in dental practice.</w:t>
            </w:r>
          </w:p>
          <w:p w:rsidR="00000000" w:rsidRPr="005B4E04" w:rsidP="005B4E04">
            <w:pPr>
              <w:pStyle w:val="BodyText"/>
            </w:pPr>
            <w:r w:rsidRPr="005B4E04">
              <w:t>Updated:</w:t>
            </w:r>
          </w:p>
          <w:p w:rsidR="00000000" w:rsidP="005B4E04">
            <w:pPr>
              <w:pStyle w:val="BodyText"/>
              <w:rPr>
                <w:lang w:val="en-NZ"/>
              </w:rPr>
            </w:pPr>
            <w:r w:rsidRPr="005B4E04">
              <w:t>Mapping details and minor corrections.</w:t>
            </w:r>
          </w:p>
        </w:tc>
      </w:tr>
      <w:tr w:rsidTr="005B4E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E04">
            <w:pPr>
              <w:pStyle w:val="BodyText"/>
              <w:rPr>
                <w:lang w:val="en-NZ"/>
              </w:rPr>
            </w:pPr>
            <w:r w:rsidRPr="005B4E0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E04" w:rsidP="005B4E04">
            <w:pPr>
              <w:pStyle w:val="BodyText"/>
            </w:pPr>
            <w:r w:rsidRPr="005B4E04">
              <w:t>HLTDEN017 Assist with administration in dental practice supersedes and is not equivalent to HLTDEN003 Assist with administration in dental practice.</w:t>
            </w:r>
          </w:p>
        </w:tc>
      </w:tr>
    </w:tbl>
    <w:p w:rsidR="00000000" w:rsidRPr="005B4E04" w:rsidP="005B4E04">
      <w:pPr>
        <w:pStyle w:val="BodyText"/>
      </w:pPr>
    </w:p>
    <w:p w:rsidR="00000000" w:rsidRPr="005B4E04" w:rsidP="005B4E04">
      <w:pPr>
        <w:pStyle w:val="AllowPageBreak"/>
      </w:pPr>
    </w:p>
    <w:p w:rsidR="00000000" w:rsidRPr="005B4E04" w:rsidP="005B4E04">
      <w:pPr>
        <w:pStyle w:val="Heading1"/>
      </w:pPr>
      <w:bookmarkStart w:id="11" w:name="O_1200913"/>
      <w:bookmarkEnd w:id="11"/>
      <w:r w:rsidRPr="005B4E04">
        <w:t>Performance Evidence</w:t>
      </w:r>
    </w:p>
    <w:p w:rsidR="00000000" w:rsidRPr="005B4E04" w:rsidP="00B4104E">
      <w:pPr>
        <w:pStyle w:val="BodyText"/>
      </w:pPr>
      <w:r w:rsidRPr="005B4E04">
        <w:t>Evidence of the ability to complete tasks outlined in elements an</w:t>
      </w:r>
      <w:r w:rsidRPr="005B4E04">
        <w:t>d performance criteria of this unit in the context of the job role, and:</w:t>
      </w:r>
    </w:p>
    <w:p w:rsidR="00000000" w:rsidRPr="005B4E04" w:rsidP="005B4E04">
      <w:pPr>
        <w:pStyle w:val="ListBullet"/>
      </w:pPr>
      <w:r w:rsidRPr="005B4E04">
        <w:t>assist with management of an appointment and recall system on one occasion including:</w:t>
      </w:r>
    </w:p>
    <w:p w:rsidR="00000000" w:rsidRPr="005B4E04" w:rsidP="005B4E04">
      <w:pPr>
        <w:pStyle w:val="ListBullet2"/>
      </w:pPr>
      <w:r w:rsidRPr="005B4E04">
        <w:t>recording patient details and records</w:t>
      </w:r>
    </w:p>
    <w:p w:rsidR="00000000" w:rsidRPr="005B4E04" w:rsidP="005B4E04">
      <w:pPr>
        <w:pStyle w:val="ListBullet2"/>
      </w:pPr>
      <w:r w:rsidRPr="005B4E04">
        <w:t>recording appointments</w:t>
      </w:r>
    </w:p>
    <w:p w:rsidR="00000000" w:rsidRPr="005B4E04" w:rsidP="005B4E04">
      <w:pPr>
        <w:pStyle w:val="ListBullet2"/>
      </w:pPr>
      <w:r w:rsidRPr="005B4E04">
        <w:t>assessing the urgency of calls and prioritising appointments</w:t>
      </w:r>
    </w:p>
    <w:p w:rsidR="00000000" w:rsidRPr="005B4E04" w:rsidP="005B4E04">
      <w:pPr>
        <w:pStyle w:val="ListBullet2"/>
      </w:pPr>
      <w:r w:rsidRPr="005B4E04">
        <w:t>responding to requests for information</w:t>
      </w:r>
    </w:p>
    <w:p w:rsidR="00000000" w:rsidRPr="005B4E04" w:rsidP="005B4E04">
      <w:pPr>
        <w:pStyle w:val="ListBullet"/>
      </w:pPr>
      <w:r w:rsidRPr="005B4E04">
        <w:t>record financial transactions for at least three different patients in accordance with dental practice or organisation requirements including:</w:t>
      </w:r>
    </w:p>
    <w:p w:rsidR="00000000" w:rsidRPr="005B4E04" w:rsidP="005B4E04">
      <w:pPr>
        <w:pStyle w:val="ListBullet2"/>
      </w:pPr>
      <w:r w:rsidRPr="005B4E04">
        <w:t xml:space="preserve">processing </w:t>
      </w:r>
      <w:r w:rsidRPr="005B4E04">
        <w:t>payments including applicable discounts or rebates</w:t>
      </w:r>
    </w:p>
    <w:p w:rsidR="00000000" w:rsidRPr="005B4E04" w:rsidP="005B4E04">
      <w:pPr>
        <w:pStyle w:val="ListBullet2"/>
      </w:pPr>
      <w:r w:rsidRPr="005B4E04">
        <w:t xml:space="preserve">using processes for handling and recording financial transactions, including: </w:t>
      </w:r>
    </w:p>
    <w:p w:rsidR="00000000" w:rsidRPr="005B4E04" w:rsidP="005B4E04">
      <w:pPr>
        <w:pStyle w:val="ListBullet3"/>
      </w:pPr>
      <w:r w:rsidRPr="005B4E04">
        <w:t xml:space="preserve">at least one Government Benefits Scheme </w:t>
      </w:r>
    </w:p>
    <w:p w:rsidR="00000000" w:rsidRPr="005B4E04" w:rsidP="005B4E04">
      <w:pPr>
        <w:pStyle w:val="ListBullet3"/>
      </w:pPr>
      <w:r w:rsidRPr="005B4E04">
        <w:t xml:space="preserve">Health Industry Claims (HICAPS)  </w:t>
      </w:r>
    </w:p>
    <w:p w:rsidR="00000000" w:rsidRPr="005B4E04" w:rsidP="005B4E04">
      <w:pPr>
        <w:pStyle w:val="ListBullet3"/>
      </w:pPr>
      <w:r w:rsidRPr="005B4E04">
        <w:t xml:space="preserve">issuing invoice  </w:t>
      </w:r>
    </w:p>
    <w:p w:rsidR="00000000" w:rsidRPr="005B4E04" w:rsidP="005B4E04">
      <w:pPr>
        <w:pStyle w:val="ListBullet3"/>
      </w:pPr>
      <w:r w:rsidRPr="005B4E04">
        <w:t>itemising patient services using Australian Schedule of Dental Services and Glossary of item numbers</w:t>
      </w:r>
    </w:p>
    <w:p w:rsidR="00000000" w:rsidRPr="005B4E04" w:rsidP="005B4E04">
      <w:pPr>
        <w:pStyle w:val="ListBullet3"/>
      </w:pPr>
      <w:r w:rsidRPr="005B4E04">
        <w:t xml:space="preserve">recording payments and issuing receipts </w:t>
      </w:r>
    </w:p>
    <w:p w:rsidR="00000000" w:rsidRPr="005B4E04" w:rsidP="005B4E04">
      <w:pPr>
        <w:pStyle w:val="ListBullet3"/>
      </w:pPr>
      <w:r w:rsidRPr="005B4E04">
        <w:t>processing different methods of payment including cash and credit or debit card</w:t>
      </w:r>
    </w:p>
    <w:p w:rsidR="00000000" w:rsidRPr="005B4E04" w:rsidP="005B4E04">
      <w:pPr>
        <w:pStyle w:val="ListBullet3"/>
      </w:pPr>
      <w:r w:rsidRPr="005B4E04">
        <w:t>transferring electronic records, a</w:t>
      </w:r>
      <w:r w:rsidRPr="005B4E04">
        <w:t>dhering to privacy confidentiality and security policies and procedures</w:t>
      </w:r>
    </w:p>
    <w:p w:rsidR="00000000" w:rsidRPr="005B4E04" w:rsidP="005B4E04">
      <w:pPr>
        <w:pStyle w:val="ListBullet"/>
      </w:pPr>
      <w:r w:rsidRPr="005B4E04">
        <w:t>interact effectively with at least three different patients including:</w:t>
      </w:r>
    </w:p>
    <w:p w:rsidR="00000000" w:rsidRPr="005B4E04" w:rsidP="005B4E04">
      <w:pPr>
        <w:pStyle w:val="ListBullet2"/>
      </w:pPr>
      <w:r w:rsidRPr="005B4E04">
        <w:t>asking for clarification from patient</w:t>
      </w:r>
    </w:p>
    <w:p w:rsidR="00000000" w:rsidRPr="005B4E04" w:rsidP="005B4E04">
      <w:pPr>
        <w:pStyle w:val="ListBullet2"/>
      </w:pPr>
      <w:r w:rsidRPr="005B4E04">
        <w:t>modifying behaviour ensuring the patient needs are met</w:t>
      </w:r>
    </w:p>
    <w:p w:rsidR="00000000" w:rsidRPr="005B4E04" w:rsidP="005B4E04">
      <w:pPr>
        <w:pStyle w:val="ListBullet2"/>
      </w:pPr>
      <w:r w:rsidRPr="005B4E04">
        <w:t>appropriate verbal language and non-verbal body language.</w:t>
      </w:r>
    </w:p>
    <w:p w:rsidR="00000000" w:rsidRPr="005B4E04" w:rsidP="005B4E04">
      <w:pPr>
        <w:pStyle w:val="AllowPageBreak"/>
      </w:pPr>
    </w:p>
    <w:p w:rsidR="00000000" w:rsidRPr="005B4E04" w:rsidP="005B4E04">
      <w:pPr>
        <w:pStyle w:val="Heading1"/>
      </w:pPr>
      <w:bookmarkStart w:id="12" w:name="O_1200912"/>
      <w:bookmarkEnd w:id="12"/>
      <w:r w:rsidRPr="005B4E04">
        <w:t>Knowledge Evidence</w:t>
      </w:r>
    </w:p>
    <w:p w:rsidR="00000000" w:rsidRPr="005B4E04" w:rsidP="00B4104E">
      <w:pPr>
        <w:pStyle w:val="BodyText"/>
      </w:pPr>
      <w:r w:rsidRPr="005B4E04">
        <w:t>Demonstrated knowledge required to complete the tasks outlined in elements and performance criteria of this unit:</w:t>
      </w:r>
    </w:p>
    <w:p w:rsidR="00000000" w:rsidRPr="005B4E04" w:rsidP="005B4E04">
      <w:pPr>
        <w:pStyle w:val="ListBullet"/>
      </w:pPr>
      <w:r w:rsidRPr="005B4E04">
        <w:t>national and State or Territory legal and eth</w:t>
      </w:r>
      <w:r w:rsidRPr="005B4E04">
        <w:t>ical requirements and considerations, for dental assisting work including:</w:t>
      </w:r>
    </w:p>
    <w:p w:rsidR="00000000" w:rsidRPr="005B4E04" w:rsidP="005B4E04">
      <w:pPr>
        <w:pStyle w:val="ListBullet2"/>
      </w:pPr>
      <w:r w:rsidRPr="005B4E04">
        <w:t>codes of practice</w:t>
      </w:r>
    </w:p>
    <w:p w:rsidR="00000000" w:rsidRPr="005B4E04" w:rsidP="005B4E04">
      <w:pPr>
        <w:pStyle w:val="ListBullet2"/>
      </w:pPr>
      <w:r w:rsidRPr="005B4E04">
        <w:t>discrimination</w:t>
      </w:r>
    </w:p>
    <w:p w:rsidR="00000000" w:rsidRPr="005B4E04" w:rsidP="005B4E04">
      <w:pPr>
        <w:pStyle w:val="ListBullet2"/>
      </w:pPr>
      <w:r w:rsidRPr="005B4E04">
        <w:t>duty of care</w:t>
      </w:r>
    </w:p>
    <w:p w:rsidR="00000000" w:rsidRPr="005B4E04" w:rsidP="005B4E04">
      <w:pPr>
        <w:pStyle w:val="ListBullet2"/>
      </w:pPr>
      <w:r w:rsidRPr="005B4E04">
        <w:t>informed consent and statutory requirements of consent</w:t>
      </w:r>
    </w:p>
    <w:p w:rsidR="00000000" w:rsidRPr="005B4E04" w:rsidP="005B4E04">
      <w:pPr>
        <w:pStyle w:val="ListBullet2"/>
      </w:pPr>
      <w:r w:rsidRPr="005B4E04">
        <w:t>current Dental Board of Australia (DBA) and Australian Health Practitioner Regu</w:t>
      </w:r>
      <w:r w:rsidRPr="005B4E04">
        <w:t>lation Agency (AHPRA) guidelines and practice standards</w:t>
      </w:r>
    </w:p>
    <w:p w:rsidR="00000000" w:rsidRPr="005B4E04" w:rsidP="005B4E04">
      <w:pPr>
        <w:pStyle w:val="ListBullet2"/>
      </w:pPr>
      <w:r w:rsidRPr="005B4E04">
        <w:t>privacy, confidentiality and disclosure for the recording, transfer and storage of patient records</w:t>
      </w:r>
    </w:p>
    <w:p w:rsidR="00000000" w:rsidRPr="005B4E04" w:rsidP="005B4E04">
      <w:pPr>
        <w:pStyle w:val="ListBullet2"/>
      </w:pPr>
      <w:r w:rsidRPr="005B4E04">
        <w:t>records management and health privacy principles and their application to the collection of information by the dental practice or organisation including the patient’s right to access</w:t>
      </w:r>
    </w:p>
    <w:p w:rsidR="00000000" w:rsidRPr="005B4E04" w:rsidP="005B4E04">
      <w:pPr>
        <w:pStyle w:val="ListBullet2"/>
      </w:pPr>
      <w:r w:rsidRPr="005B4E04">
        <w:t>management of dental images and patient access or transfer</w:t>
      </w:r>
    </w:p>
    <w:p w:rsidR="00000000" w:rsidRPr="005B4E04" w:rsidP="005B4E04">
      <w:pPr>
        <w:pStyle w:val="ListBullet2"/>
      </w:pPr>
      <w:r w:rsidRPr="005B4E04">
        <w:t>work role boun</w:t>
      </w:r>
      <w:r w:rsidRPr="005B4E04">
        <w:t>daries including responsibilities and limitations</w:t>
      </w:r>
    </w:p>
    <w:p w:rsidR="00000000" w:rsidRPr="005B4E04" w:rsidP="005B4E04">
      <w:pPr>
        <w:pStyle w:val="ListBullet2"/>
      </w:pPr>
      <w:r w:rsidRPr="005B4E04">
        <w:t>work health and safety</w:t>
      </w:r>
    </w:p>
    <w:p w:rsidR="00000000" w:rsidRPr="005B4E04" w:rsidP="005B4E04">
      <w:pPr>
        <w:pStyle w:val="ListBullet"/>
      </w:pPr>
      <w:r w:rsidRPr="005B4E04">
        <w:t>procedures for taking and recording appointments, including:</w:t>
      </w:r>
    </w:p>
    <w:p w:rsidR="00000000" w:rsidRPr="005B4E04" w:rsidP="005B4E04">
      <w:pPr>
        <w:pStyle w:val="ListBullet2"/>
      </w:pPr>
      <w:r w:rsidRPr="005B4E04">
        <w:t>confirming appointments</w:t>
      </w:r>
    </w:p>
    <w:p w:rsidR="00000000" w:rsidRPr="005B4E04" w:rsidP="005B4E04">
      <w:pPr>
        <w:pStyle w:val="ListBullet2"/>
      </w:pPr>
      <w:r w:rsidRPr="005B4E04">
        <w:t>action that must be taken for broken or cancelled appointments</w:t>
      </w:r>
    </w:p>
    <w:p w:rsidR="00000000" w:rsidRPr="005B4E04" w:rsidP="005B4E04">
      <w:pPr>
        <w:pStyle w:val="ListBullet2"/>
      </w:pPr>
      <w:r w:rsidRPr="005B4E04">
        <w:t>practitioner’s preferred work rou</w:t>
      </w:r>
      <w:r w:rsidRPr="005B4E04">
        <w:t>tine</w:t>
      </w:r>
    </w:p>
    <w:p w:rsidR="00000000" w:rsidRPr="005B4E04" w:rsidP="005B4E04">
      <w:pPr>
        <w:pStyle w:val="ListBullet2"/>
      </w:pPr>
      <w:r w:rsidRPr="005B4E04">
        <w:t>particular needs that patients may have for the timing of appointments</w:t>
      </w:r>
    </w:p>
    <w:p w:rsidR="00000000" w:rsidRPr="005B4E04" w:rsidP="005B4E04">
      <w:pPr>
        <w:pStyle w:val="ListBullet2"/>
      </w:pPr>
      <w:r w:rsidRPr="005B4E04">
        <w:t>relevant details that must be entered into the patient information system, and the written confirmation that must be provided to the patient</w:t>
      </w:r>
    </w:p>
    <w:p w:rsidR="00000000" w:rsidRPr="005B4E04" w:rsidP="005B4E04">
      <w:pPr>
        <w:pStyle w:val="ListBullet2"/>
      </w:pPr>
      <w:r w:rsidRPr="005B4E04">
        <w:t xml:space="preserve">time constraints imposed by the dental </w:t>
      </w:r>
      <w:r w:rsidRPr="005B4E04">
        <w:t>laboratory</w:t>
      </w:r>
    </w:p>
    <w:p w:rsidR="00000000" w:rsidRPr="005B4E04" w:rsidP="005B4E04">
      <w:pPr>
        <w:pStyle w:val="ListBullet2"/>
      </w:pPr>
      <w:r w:rsidRPr="005B4E04">
        <w:t>time requirements of different treatment procedures, and the effect this has on appointment scheduling</w:t>
      </w:r>
    </w:p>
    <w:p w:rsidR="00000000" w:rsidRPr="005B4E04" w:rsidP="005B4E04">
      <w:pPr>
        <w:pStyle w:val="ListBullet2"/>
      </w:pPr>
      <w:r w:rsidRPr="005B4E04">
        <w:t>ways in which scheduling of appointments may cause problems for the practice, and possible methods for remedying this</w:t>
      </w:r>
    </w:p>
    <w:p w:rsidR="00000000" w:rsidRPr="005B4E04" w:rsidP="005B4E04">
      <w:pPr>
        <w:pStyle w:val="ListBullet"/>
      </w:pPr>
      <w:r w:rsidRPr="005B4E04">
        <w:t>methods used by the dental practice or organisation to identify those patients who require either recall examination or follow-up treatment</w:t>
      </w:r>
    </w:p>
    <w:p w:rsidR="00000000" w:rsidRPr="005B4E04" w:rsidP="005B4E04">
      <w:pPr>
        <w:pStyle w:val="ListBullet"/>
      </w:pPr>
      <w:r w:rsidRPr="005B4E04">
        <w:t>methods used for follow-up of patients who do not respond to recall</w:t>
      </w:r>
    </w:p>
    <w:p w:rsidR="00000000" w:rsidRPr="005B4E04" w:rsidP="005B4E04">
      <w:pPr>
        <w:pStyle w:val="ListBullet"/>
      </w:pPr>
      <w:r w:rsidRPr="005B4E04">
        <w:t>fundamental dental terminology including:</w:t>
      </w:r>
    </w:p>
    <w:p w:rsidR="00000000" w:rsidRPr="005B4E04" w:rsidP="005B4E04">
      <w:pPr>
        <w:pStyle w:val="ListBullet2"/>
      </w:pPr>
      <w:r w:rsidRPr="005B4E04">
        <w:t>abbre</w:t>
      </w:r>
      <w:r w:rsidRPr="005B4E04">
        <w:t>viations and symbols used when recording dental treatment</w:t>
      </w:r>
    </w:p>
    <w:p w:rsidR="00000000" w:rsidRPr="005B4E04" w:rsidP="005B4E04">
      <w:pPr>
        <w:pStyle w:val="ListBullet2"/>
      </w:pPr>
      <w:r w:rsidRPr="005B4E04">
        <w:t>appropriate periodontal indices</w:t>
      </w:r>
    </w:p>
    <w:p w:rsidR="00000000" w:rsidRPr="005B4E04" w:rsidP="005B4E04">
      <w:pPr>
        <w:pStyle w:val="ListBullet2"/>
      </w:pPr>
      <w:r w:rsidRPr="005B4E04">
        <w:t>notation systems in accordance with codes and guidelines used in the Federation Dentaire Internationale (FDI) and charting symbols for tooth surfaces, cavities and ot</w:t>
      </w:r>
      <w:r w:rsidRPr="005B4E04">
        <w:t xml:space="preserve">her dental problems. </w:t>
      </w:r>
    </w:p>
    <w:p w:rsidR="00000000" w:rsidRPr="005B4E04" w:rsidP="005B4E04">
      <w:pPr>
        <w:pStyle w:val="ListBullet"/>
      </w:pPr>
      <w:r w:rsidRPr="005B4E04">
        <w:t>processes for handling and recording financial transactions, including:</w:t>
      </w:r>
    </w:p>
    <w:p w:rsidR="00000000" w:rsidRPr="005B4E04" w:rsidP="005B4E04">
      <w:pPr>
        <w:pStyle w:val="ListBullet2"/>
      </w:pPr>
      <w:r w:rsidRPr="005B4E04">
        <w:t>accurate numerical calculation of costs</w:t>
      </w:r>
    </w:p>
    <w:p w:rsidR="00000000" w:rsidRPr="005B4E04" w:rsidP="005B4E04">
      <w:pPr>
        <w:pStyle w:val="ListBullet2"/>
      </w:pPr>
      <w:r w:rsidRPr="005B4E04">
        <w:t xml:space="preserve">Health Industry Claims and Payments Service (HICAPS) electronic claims </w:t>
      </w:r>
    </w:p>
    <w:p w:rsidR="00000000" w:rsidRPr="005B4E04" w:rsidP="005B4E04">
      <w:pPr>
        <w:pStyle w:val="ListBullet2"/>
      </w:pPr>
      <w:r w:rsidRPr="005B4E04">
        <w:t>issuing invoices</w:t>
      </w:r>
    </w:p>
    <w:p w:rsidR="00000000" w:rsidRPr="005B4E04" w:rsidP="005B4E04">
      <w:pPr>
        <w:pStyle w:val="ListBullet2"/>
      </w:pPr>
      <w:r w:rsidRPr="005B4E04">
        <w:t>itemising patient accounts, usi</w:t>
      </w:r>
      <w:r w:rsidRPr="005B4E04">
        <w:t xml:space="preserve">ng the coding system described in the Australian Schedule of Dental Services and Glossary </w:t>
      </w:r>
    </w:p>
    <w:p w:rsidR="00000000" w:rsidRPr="005B4E04" w:rsidP="005B4E04">
      <w:pPr>
        <w:pStyle w:val="ListBullet2"/>
      </w:pPr>
      <w:r w:rsidRPr="005B4E04">
        <w:t>operating a petty cash system</w:t>
      </w:r>
    </w:p>
    <w:p w:rsidR="00000000" w:rsidRPr="005B4E04" w:rsidP="005B4E04">
      <w:pPr>
        <w:pStyle w:val="ListBullet2"/>
      </w:pPr>
      <w:r w:rsidRPr="005B4E04">
        <w:t xml:space="preserve">organisation policy and procedures for banking and secure handling of cash </w:t>
      </w:r>
    </w:p>
    <w:p w:rsidR="00000000" w:rsidRPr="005B4E04" w:rsidP="005B4E04">
      <w:pPr>
        <w:pStyle w:val="ListBullet2"/>
      </w:pPr>
      <w:r w:rsidRPr="005B4E04">
        <w:t>recording payments and issuing of receipts</w:t>
      </w:r>
    </w:p>
    <w:p w:rsidR="00000000" w:rsidRPr="005B4E04" w:rsidP="005B4E04">
      <w:pPr>
        <w:pStyle w:val="ListBullet2"/>
      </w:pPr>
      <w:r w:rsidRPr="005B4E04">
        <w:t>total daily payment reconciliation according to organisational policies and procedures</w:t>
      </w:r>
    </w:p>
    <w:p w:rsidR="00000000" w:rsidRPr="005B4E04" w:rsidP="005B4E04">
      <w:pPr>
        <w:pStyle w:val="ListBullet2"/>
      </w:pPr>
      <w:r w:rsidRPr="005B4E04">
        <w:t>Department of Veteran’s Affairs (DVA) health care program</w:t>
      </w:r>
    </w:p>
    <w:p w:rsidR="00000000" w:rsidRPr="005B4E04" w:rsidP="005B4E04">
      <w:pPr>
        <w:pStyle w:val="ListBullet2"/>
      </w:pPr>
      <w:r w:rsidRPr="005B4E04">
        <w:t>the different methods of payment, and the details that need to be recorded and checked for credit card and debi</w:t>
      </w:r>
      <w:r w:rsidRPr="005B4E04">
        <w:t xml:space="preserve">t card </w:t>
      </w:r>
    </w:p>
    <w:p w:rsidR="00000000" w:rsidRPr="005B4E04" w:rsidP="005B4E04">
      <w:pPr>
        <w:pStyle w:val="ListBullet2"/>
      </w:pPr>
      <w:r w:rsidRPr="005B4E04">
        <w:t>transfer of electronic records including privacy, confidentiality and security</w:t>
      </w:r>
    </w:p>
    <w:p w:rsidR="00000000" w:rsidRPr="005B4E04" w:rsidP="005B4E04">
      <w:pPr>
        <w:pStyle w:val="ListBullet"/>
      </w:pPr>
      <w:r w:rsidRPr="005B4E04">
        <w:t xml:space="preserve">conditions that require urgent dental or medical treatment </w:t>
      </w:r>
    </w:p>
    <w:p w:rsidR="00000000" w:rsidRPr="005B4E04" w:rsidP="005B4E04">
      <w:pPr>
        <w:pStyle w:val="ListBullet"/>
      </w:pPr>
      <w:r w:rsidRPr="005B4E04">
        <w:t>dental complications relevant to the dental triage role including:</w:t>
      </w:r>
    </w:p>
    <w:p w:rsidR="00000000" w:rsidRPr="005B4E04" w:rsidP="005B4E04">
      <w:pPr>
        <w:pStyle w:val="ListBullet2"/>
      </w:pPr>
      <w:r w:rsidRPr="005B4E04">
        <w:t>dental and or maxillofacial trauma inclu</w:t>
      </w:r>
      <w:r w:rsidRPr="005B4E04">
        <w:t>ding avulsed teeth</w:t>
      </w:r>
    </w:p>
    <w:p w:rsidR="00000000" w:rsidRPr="005B4E04" w:rsidP="005B4E04">
      <w:pPr>
        <w:pStyle w:val="ListBullet2"/>
      </w:pPr>
      <w:r w:rsidRPr="005B4E04">
        <w:t>serious dental infections requiring urgent attention</w:t>
      </w:r>
    </w:p>
    <w:p w:rsidR="00000000" w:rsidRPr="005B4E04" w:rsidP="005B4E04">
      <w:pPr>
        <w:pStyle w:val="ListBullet2"/>
      </w:pPr>
      <w:r w:rsidRPr="005B4E04">
        <w:t>significant dental haemorrhage</w:t>
      </w:r>
    </w:p>
    <w:p w:rsidR="00000000" w:rsidRPr="005B4E04" w:rsidP="005B4E04">
      <w:pPr>
        <w:pStyle w:val="ListBullet2"/>
      </w:pPr>
      <w:r w:rsidRPr="005B4E04">
        <w:t>systemic progression of dental problems including compromised airway</w:t>
      </w:r>
    </w:p>
    <w:p w:rsidR="00000000" w:rsidRPr="005B4E04" w:rsidP="005B4E04">
      <w:pPr>
        <w:pStyle w:val="ListBullet"/>
      </w:pPr>
      <w:r w:rsidRPr="005B4E04">
        <w:t>medical problems that may complicate dental management including:</w:t>
      </w:r>
    </w:p>
    <w:p w:rsidR="00000000" w:rsidRPr="005B4E04" w:rsidP="005B4E04">
      <w:pPr>
        <w:pStyle w:val="ListBullet2"/>
      </w:pPr>
      <w:r w:rsidRPr="005B4E04">
        <w:t>patients requiri</w:t>
      </w:r>
      <w:r w:rsidRPr="005B4E04">
        <w:t>ng antibiotic cover</w:t>
      </w:r>
    </w:p>
    <w:p w:rsidR="00000000" w:rsidRPr="005B4E04" w:rsidP="005B4E04">
      <w:pPr>
        <w:pStyle w:val="ListBullet2"/>
      </w:pPr>
      <w:r w:rsidRPr="005B4E04">
        <w:t>patients requiring steroid cover</w:t>
      </w:r>
    </w:p>
    <w:p w:rsidR="00000000" w:rsidRPr="005B4E04" w:rsidP="005B4E04">
      <w:pPr>
        <w:pStyle w:val="ListBullet2"/>
      </w:pPr>
      <w:r w:rsidRPr="005B4E04">
        <w:t>patients who are pregnant</w:t>
      </w:r>
    </w:p>
    <w:p w:rsidR="00000000" w:rsidRPr="005B4E04" w:rsidP="005B4E04">
      <w:pPr>
        <w:pStyle w:val="ListBullet2"/>
      </w:pPr>
      <w:r w:rsidRPr="005B4E04">
        <w:t>patients with significant learning or physical disabilities that may affect their ability to wait for treatment</w:t>
      </w:r>
    </w:p>
    <w:p w:rsidR="00000000" w:rsidRPr="005B4E04" w:rsidP="005B4E04">
      <w:pPr>
        <w:pStyle w:val="ListBullet"/>
      </w:pPr>
      <w:r w:rsidRPr="005B4E04">
        <w:t>the special requirements of children with toothache.</w:t>
      </w:r>
    </w:p>
    <w:p w:rsidR="00000000" w:rsidRPr="005B4E04" w:rsidP="005B4E04">
      <w:pPr>
        <w:pStyle w:val="AllowPageBreak"/>
      </w:pPr>
    </w:p>
    <w:p w:rsidR="00000000" w:rsidRPr="005B4E04" w:rsidP="005B4E04">
      <w:pPr>
        <w:pStyle w:val="Heading1"/>
      </w:pPr>
      <w:bookmarkStart w:id="13" w:name="O_1200911"/>
      <w:bookmarkEnd w:id="13"/>
      <w:r w:rsidRPr="005B4E04">
        <w:t>Assessment Conditions</w:t>
      </w:r>
    </w:p>
    <w:p w:rsidR="00000000" w:rsidRPr="005B4E04" w:rsidP="00B4104E">
      <w:pPr>
        <w:pStyle w:val="BodyText"/>
      </w:pPr>
      <w:r w:rsidRPr="005B4E04">
        <w:t>Skills must be demonstrated in a dental clinic workplace or in a simulated environment that reflects workplace conditions.</w:t>
      </w:r>
    </w:p>
    <w:p w:rsidR="00000000" w:rsidRPr="005B4E04" w:rsidP="00B4104E">
      <w:pPr>
        <w:pStyle w:val="BodyText"/>
      </w:pPr>
      <w:r w:rsidRPr="005B4E04">
        <w:t>Assessment must ensure:</w:t>
      </w:r>
    </w:p>
    <w:p w:rsidR="00000000" w:rsidRPr="005B4E04" w:rsidP="005B4E04">
      <w:pPr>
        <w:pStyle w:val="ListBullet"/>
      </w:pPr>
      <w:r w:rsidRPr="005B4E04">
        <w:t>access to suitable facilities, equipment and resources, including:</w:t>
      </w:r>
    </w:p>
    <w:p w:rsidR="00000000" w:rsidRPr="005B4E04" w:rsidP="005B4E04">
      <w:pPr>
        <w:pStyle w:val="ListBullet2"/>
      </w:pPr>
      <w:r w:rsidRPr="005B4E04">
        <w:t>telephone</w:t>
      </w:r>
    </w:p>
    <w:p w:rsidR="00000000" w:rsidRPr="005B4E04" w:rsidP="005B4E04">
      <w:pPr>
        <w:pStyle w:val="ListBullet2"/>
      </w:pPr>
      <w:r w:rsidRPr="005B4E04">
        <w:t xml:space="preserve">patient information system and patient records </w:t>
      </w:r>
    </w:p>
    <w:p w:rsidR="00000000" w:rsidRPr="005B4E04" w:rsidP="005B4E04">
      <w:pPr>
        <w:pStyle w:val="ListBullet2"/>
      </w:pPr>
      <w:r w:rsidRPr="005B4E04">
        <w:t>equipment for handling and recording financial transactions</w:t>
      </w:r>
    </w:p>
    <w:p w:rsidR="00000000" w:rsidRPr="005B4E04" w:rsidP="005B4E04">
      <w:pPr>
        <w:pStyle w:val="ListBullet2"/>
      </w:pPr>
      <w:r w:rsidRPr="005B4E04">
        <w:t>current Dental Board of Australia (DBA) and Australian Health Practitioner Regulation Agency (AHPRA) guidelines and practice standards</w:t>
      </w:r>
    </w:p>
    <w:p w:rsidR="00000000" w:rsidRPr="005B4E04" w:rsidP="005B4E04">
      <w:pPr>
        <w:pStyle w:val="ListBullet"/>
      </w:pPr>
      <w:r w:rsidRPr="005B4E04">
        <w:t>modelling of industry operating conditions including access to people for simulations and scenarios in dental assisting work</w:t>
      </w:r>
    </w:p>
    <w:p w:rsidR="00000000" w:rsidRPr="005B4E04" w:rsidP="00B4104E">
      <w:pPr>
        <w:pStyle w:val="BodyText"/>
      </w:pPr>
      <w:r w:rsidRPr="005B4E04">
        <w:t>Assessors must satisfy the Standards for Registered Training Organisations’ requirements for assessors.</w:t>
      </w:r>
    </w:p>
    <w:p w:rsidR="00000000" w:rsidRPr="005B4E04" w:rsidP="005B4E04">
      <w:pPr>
        <w:pStyle w:val="Heading1"/>
      </w:pPr>
      <w:bookmarkStart w:id="14" w:name="O_1200925"/>
      <w:bookmarkEnd w:id="14"/>
      <w:r w:rsidRPr="005B4E04">
        <w:t>Links</w:t>
      </w:r>
    </w:p>
    <w:p w:rsidR="00000000" w:rsidRPr="005B4E04" w:rsidP="00B4104E">
      <w:pPr>
        <w:pStyle w:val="BodyText"/>
      </w:pPr>
      <w:r w:rsidRPr="005B4E04">
        <w:t>Co</w:t>
      </w:r>
      <w:r w:rsidRPr="005B4E04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636E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B4E04" w:rsidP="005B4E04"/>
    <w:sectPr w:rsidSect="005B4E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04" w:rsidRPr="00B4104E" w:rsidP="00B41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04E" w:rsidP="005B4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4104E" w:rsidP="005B4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4104E" w:rsidP="005B4E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04" w:rsidP="005B4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104E">
      <w:t>Approved</w:t>
    </w:r>
    <w:r w:rsidR="00B410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104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104E">
      <w:rPr>
        <w:noProof/>
      </w:rPr>
      <w:t>6</w:t>
    </w:r>
    <w:r>
      <w:rPr>
        <w:noProof/>
      </w:rPr>
      <w:fldChar w:fldCharType="end"/>
    </w:r>
  </w:p>
  <w:p w:rsidR="005B4E04" w:rsidP="005B4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10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104E">
      <w:t>HumanAbility</w:t>
    </w:r>
    <w:r w:rsidR="00B4104E">
      <w:fldChar w:fldCharType="end"/>
    </w:r>
  </w:p>
  <w:p w:rsidR="005B4E04" w:rsidP="005B4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E04" w:rsidRPr="00B4104E" w:rsidP="00B41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04E" w:rsidRPr="002D2AF8" w:rsidP="005B4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HLTDEN017 Assist with administration in dental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104E" w:rsidP="005B4E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E04" w:rsidRPr="002D2AF8" w:rsidP="005B4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104E">
      <w:t>HLTDEN017 Assist with administration in dental practice</w:t>
    </w:r>
    <w:r w:rsidR="00B410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104E">
      <w:rPr>
        <w:noProof/>
      </w:rPr>
      <w:t>2 March 2025</w:t>
    </w:r>
    <w:r>
      <w:fldChar w:fldCharType="end"/>
    </w:r>
  </w:p>
  <w:p w:rsidR="005B4E04" w:rsidP="005B4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CEDA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189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E88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E04"/>
  </w:style>
  <w:style w:type="character" w:customStyle="1" w:styleId="Heading1Char">
    <w:name w:val="Heading 1 Char"/>
    <w:basedOn w:val="DefaultParagraphFont"/>
    <w:link w:val="Heading1"/>
    <w:rsid w:val="005B4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E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4E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4E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E04"/>
    <w:rPr>
      <w:b/>
      <w:spacing w:val="0"/>
    </w:rPr>
  </w:style>
  <w:style w:type="paragraph" w:styleId="ListBullet2">
    <w:name w:val="List Bullet 2"/>
    <w:basedOn w:val="List2"/>
    <w:rsid w:val="005B4E0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4E04"/>
    <w:rPr>
      <w:i/>
    </w:rPr>
  </w:style>
  <w:style w:type="paragraph" w:customStyle="1" w:styleId="SuperHeading">
    <w:name w:val="SuperHeading"/>
    <w:basedOn w:val="Normal"/>
    <w:rsid w:val="005B4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4E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4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E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4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E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E04"/>
  </w:style>
  <w:style w:type="paragraph" w:styleId="TableofFigures">
    <w:name w:val="table of figures"/>
    <w:basedOn w:val="Normal"/>
    <w:next w:val="Normal"/>
    <w:semiHidden/>
    <w:rsid w:val="005B4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E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4E04"/>
    <w:rPr>
      <w:rFonts w:ascii="Wingdings" w:hAnsi="Wingdings"/>
    </w:rPr>
  </w:style>
  <w:style w:type="paragraph" w:customStyle="1" w:styleId="TableHeading">
    <w:name w:val="Table Heading"/>
    <w:basedOn w:val="HeadingBase"/>
    <w:rsid w:val="005B4E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E04"/>
    <w:rPr>
      <w:color w:val="0033CC"/>
      <w:u w:val="none"/>
    </w:rPr>
  </w:style>
  <w:style w:type="paragraph" w:customStyle="1" w:styleId="BodyTextRight">
    <w:name w:val="Body Text Right"/>
    <w:basedOn w:val="BodyText"/>
    <w:rsid w:val="005B4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E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E04"/>
    <w:rPr>
      <w:sz w:val="32"/>
    </w:rPr>
  </w:style>
  <w:style w:type="paragraph" w:customStyle="1" w:styleId="HeadingProcedure">
    <w:name w:val="Heading Procedure"/>
    <w:basedOn w:val="HeadingBase"/>
    <w:next w:val="Normal"/>
    <w:rsid w:val="005B4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E04"/>
    <w:pPr>
      <w:spacing w:before="60" w:after="60"/>
    </w:pPr>
  </w:style>
  <w:style w:type="paragraph" w:styleId="ListContinue">
    <w:name w:val="List Continue"/>
    <w:basedOn w:val="List"/>
    <w:rsid w:val="005B4E04"/>
    <w:pPr>
      <w:ind w:firstLine="0"/>
    </w:pPr>
  </w:style>
  <w:style w:type="paragraph" w:customStyle="1" w:styleId="ListNote">
    <w:name w:val="List Note"/>
    <w:basedOn w:val="List"/>
    <w:rsid w:val="005B4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E04"/>
    <w:rPr>
      <w:rFonts w:ascii="Courier New" w:hAnsi="Courier New"/>
    </w:rPr>
  </w:style>
  <w:style w:type="paragraph" w:customStyle="1" w:styleId="NoteBullet">
    <w:name w:val="Note Bullet"/>
    <w:basedOn w:val="Note"/>
    <w:rsid w:val="005B4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E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4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E04"/>
    <w:rPr>
      <w:b/>
      <w:smallCaps/>
    </w:rPr>
  </w:style>
  <w:style w:type="paragraph" w:customStyle="1" w:styleId="TableListNumber">
    <w:name w:val="Table List Number"/>
    <w:basedOn w:val="ListNumber"/>
    <w:rsid w:val="005B4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E04"/>
    <w:pPr>
      <w:numPr>
        <w:numId w:val="10"/>
      </w:numPr>
    </w:pPr>
  </w:style>
  <w:style w:type="paragraph" w:customStyle="1" w:styleId="ListAlpha2">
    <w:name w:val="List Alpha 2"/>
    <w:basedOn w:val="List2"/>
    <w:rsid w:val="005B4E04"/>
    <w:pPr>
      <w:numPr>
        <w:numId w:val="9"/>
      </w:numPr>
    </w:pPr>
  </w:style>
  <w:style w:type="paragraph" w:styleId="List2">
    <w:name w:val="List 2"/>
    <w:basedOn w:val="BodyText"/>
    <w:rsid w:val="005B4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E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4E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4E04"/>
    <w:pPr>
      <w:numPr>
        <w:numId w:val="5"/>
      </w:numPr>
    </w:pPr>
  </w:style>
  <w:style w:type="paragraph" w:styleId="ListContinue2">
    <w:name w:val="List Continue 2"/>
    <w:basedOn w:val="List2"/>
    <w:rsid w:val="005B4E04"/>
    <w:pPr>
      <w:ind w:firstLine="0"/>
    </w:pPr>
  </w:style>
  <w:style w:type="paragraph" w:styleId="ListContinue3">
    <w:name w:val="List Continue 3"/>
    <w:basedOn w:val="List3"/>
    <w:rsid w:val="005B4E04"/>
    <w:pPr>
      <w:ind w:left="1021" w:firstLine="0"/>
    </w:pPr>
  </w:style>
  <w:style w:type="paragraph" w:styleId="ListContinue4">
    <w:name w:val="List Continue 4"/>
    <w:basedOn w:val="List4"/>
    <w:rsid w:val="005B4E04"/>
    <w:pPr>
      <w:ind w:firstLine="0"/>
    </w:pPr>
  </w:style>
  <w:style w:type="paragraph" w:styleId="ListContinue5">
    <w:name w:val="List Continue 5"/>
    <w:basedOn w:val="List5"/>
    <w:rsid w:val="005B4E04"/>
    <w:pPr>
      <w:ind w:firstLine="0"/>
    </w:pPr>
  </w:style>
  <w:style w:type="paragraph" w:styleId="ListNumber3">
    <w:name w:val="List Number 3"/>
    <w:basedOn w:val="List3"/>
    <w:rsid w:val="005B4E04"/>
    <w:pPr>
      <w:numPr>
        <w:numId w:val="6"/>
      </w:numPr>
    </w:pPr>
  </w:style>
  <w:style w:type="paragraph" w:styleId="ListNumber4">
    <w:name w:val="List Number 4"/>
    <w:basedOn w:val="List4"/>
    <w:rsid w:val="005B4E04"/>
    <w:pPr>
      <w:numPr>
        <w:numId w:val="7"/>
      </w:numPr>
    </w:pPr>
  </w:style>
  <w:style w:type="paragraph" w:styleId="ListNumber5">
    <w:name w:val="List Number 5"/>
    <w:basedOn w:val="List5"/>
    <w:rsid w:val="005B4E04"/>
    <w:pPr>
      <w:numPr>
        <w:numId w:val="8"/>
      </w:numPr>
    </w:pPr>
  </w:style>
  <w:style w:type="paragraph" w:styleId="BlockText">
    <w:name w:val="Block Text"/>
    <w:basedOn w:val="Normal"/>
    <w:rsid w:val="005B4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E04"/>
    <w:rPr>
      <w:sz w:val="16"/>
      <w:vertAlign w:val="superscript"/>
    </w:rPr>
  </w:style>
  <w:style w:type="character" w:customStyle="1" w:styleId="Symbols">
    <w:name w:val="Symbols"/>
    <w:basedOn w:val="DefaultParagraphFont"/>
    <w:rsid w:val="005B4E04"/>
    <w:rPr>
      <w:rFonts w:ascii="Symbol" w:hAnsi="Symbol"/>
    </w:rPr>
  </w:style>
  <w:style w:type="character" w:customStyle="1" w:styleId="MenuOptions">
    <w:name w:val="Menu Options"/>
    <w:basedOn w:val="DefaultParagraphFont"/>
    <w:rsid w:val="005B4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E04"/>
    <w:rPr>
      <w:b/>
    </w:rPr>
  </w:style>
  <w:style w:type="character" w:customStyle="1" w:styleId="Underlined">
    <w:name w:val="Underlined"/>
    <w:basedOn w:val="DefaultParagraphFont"/>
    <w:rsid w:val="005B4E04"/>
    <w:rPr>
      <w:u w:val="single"/>
    </w:rPr>
  </w:style>
  <w:style w:type="paragraph" w:customStyle="1" w:styleId="TableBodyTextRight">
    <w:name w:val="Table Body Text Right"/>
    <w:basedOn w:val="TableBodyText"/>
    <w:rsid w:val="005B4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E04"/>
    <w:rPr>
      <w:sz w:val="18"/>
    </w:rPr>
  </w:style>
  <w:style w:type="paragraph" w:customStyle="1" w:styleId="BodySmallRight">
    <w:name w:val="Body Small Right"/>
    <w:basedOn w:val="BodyTextRight"/>
    <w:rsid w:val="005B4E04"/>
    <w:rPr>
      <w:sz w:val="18"/>
      <w:szCs w:val="18"/>
    </w:rPr>
  </w:style>
  <w:style w:type="paragraph" w:customStyle="1" w:styleId="MarginEdition">
    <w:name w:val="Margin Edition"/>
    <w:basedOn w:val="MarginNote"/>
    <w:rsid w:val="005B4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E04"/>
    <w:rPr>
      <w:sz w:val="2"/>
      <w:szCs w:val="2"/>
    </w:rPr>
  </w:style>
  <w:style w:type="character" w:customStyle="1" w:styleId="Small">
    <w:name w:val="Small"/>
    <w:basedOn w:val="DefaultParagraphFont"/>
    <w:rsid w:val="005B4E04"/>
    <w:rPr>
      <w:sz w:val="16"/>
    </w:rPr>
  </w:style>
  <w:style w:type="paragraph" w:customStyle="1" w:styleId="WideTable">
    <w:name w:val="Wide Table"/>
    <w:basedOn w:val="Normal"/>
    <w:rsid w:val="005B4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E04"/>
  </w:style>
  <w:style w:type="paragraph" w:styleId="Quote">
    <w:name w:val="Quote"/>
    <w:basedOn w:val="Heading1"/>
    <w:link w:val="QuoteChar"/>
    <w:qFormat/>
    <w:rsid w:val="005B4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E04"/>
    <w:pPr>
      <w:pageBreakBefore/>
    </w:pPr>
  </w:style>
  <w:style w:type="paragraph" w:customStyle="1" w:styleId="Border">
    <w:name w:val="Border"/>
    <w:basedOn w:val="Normal"/>
    <w:qFormat/>
    <w:rsid w:val="005B4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E04"/>
    <w:rPr>
      <w:u w:val="single"/>
    </w:rPr>
  </w:style>
  <w:style w:type="character" w:customStyle="1" w:styleId="BoldandItalics">
    <w:name w:val="Bold and Italics"/>
    <w:qFormat/>
    <w:rsid w:val="005B4E04"/>
    <w:rPr>
      <w:b/>
      <w:i/>
      <w:u w:val="none"/>
    </w:rPr>
  </w:style>
  <w:style w:type="paragraph" w:styleId="BalloonText">
    <w:name w:val="Balloon Text"/>
    <w:basedOn w:val="Normal"/>
    <w:link w:val="BalloonTextChar"/>
    <w:rsid w:val="005B4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E04"/>
    <w:pPr>
      <w:spacing w:before="0" w:after="0"/>
    </w:pPr>
  </w:style>
  <w:style w:type="paragraph" w:customStyle="1" w:styleId="BodyTextBold">
    <w:name w:val="Body Text Bold"/>
    <w:basedOn w:val="BodyText"/>
    <w:qFormat/>
    <w:rsid w:val="005B4E04"/>
    <w:rPr>
      <w:b/>
    </w:rPr>
  </w:style>
  <w:style w:type="character" w:styleId="Hyperlink">
    <w:name w:val="Hyperlink"/>
    <w:basedOn w:val="DefaultParagraphFont"/>
    <w:uiPriority w:val="99"/>
    <w:unhideWhenUsed/>
    <w:rsid w:val="00B41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1492</Words>
  <Characters>9791</Characters>
  <Application>Microsoft Office Word</Application>
  <DocSecurity>0</DocSecurity>
  <Lines>264</Lines>
  <Paragraphs>191</Paragraphs>
  <ScaleCrop>false</ScaleCrop>
  <Company>Author-it Software Corporation Ltd.</Company>
  <LinksUpToDate>false</LinksUpToDate>
  <CharactersWithSpaces>11092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HLTDEN017 Assist with administration in dental practice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2025-03-01T14:59:00Z</dcterms:created>
  <dcterms:modified xsi:type="dcterms:W3CDTF">2025-03-01T14:59:00Z</dcterms:modified>
</cp:coreProperties>
</file>