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AB8" w:rsidP="00FE1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HLTDEN015 Prepare for and assist with dental procedures</w:t>
      </w:r>
      <w:r>
        <w:fldChar w:fldCharType="end"/>
      </w:r>
    </w:p>
    <w:p w:rsidR="00FE1AB8" w:rsidP="00FE1AB8">
      <w:pPr>
        <w:pStyle w:val="Version"/>
        <w:sectPr w:rsidSect="00786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865AA" w:rsidP="007865AA">
      <w:pPr>
        <w:pStyle w:val="SuperHeading"/>
      </w:pPr>
      <w:r w:rsidRPr="007865AA">
        <w:t>HLTDEN015 Prepare for and assist with dental procedures</w:t>
      </w:r>
    </w:p>
    <w:p w:rsidR="00000000" w:rsidRPr="007865AA" w:rsidP="007865AA">
      <w:pPr>
        <w:pStyle w:val="Heading1"/>
      </w:pPr>
      <w:bookmarkStart w:id="1" w:name="O_1210536"/>
      <w:bookmarkEnd w:id="1"/>
      <w:r w:rsidRPr="007865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14"/>
      </w:tblGrid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65AA" w:rsidP="007865AA">
            <w:pPr>
              <w:pStyle w:val="BodyText"/>
            </w:pPr>
            <w:r w:rsidRPr="007865AA">
              <w:rPr>
                <w:rStyle w:val="SpecialBold"/>
              </w:rPr>
              <w:t>Release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rPr>
                <w:rStyle w:val="SpecialBold"/>
              </w:rPr>
              <w:t>Comments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t>Release 3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t xml:space="preserve">Minor change. Updated knowledge evidence. Equivalent outcome. 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t>Release 2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BodyText"/>
            </w:pPr>
            <w:r w:rsidRPr="007865AA">
              <w:t>Release 2 HLTDEN015 Prepare for and assist with dental procedures supersedes and is equivalent to Release 1 HLTDEN0</w:t>
            </w:r>
            <w:r w:rsidRPr="007865AA">
              <w:t>15 Prepare for and assist with dental procedures.</w:t>
            </w:r>
          </w:p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t>Updated: Mapping details and minor corrections.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BodyText"/>
            </w:pPr>
            <w:r w:rsidRPr="007865AA">
              <w:t xml:space="preserve">HLTDEN015 Prepare for and assist with dental procedures supersedes and is not equivalent to HLTDEN001 Prepare for and assist with oral health care </w:t>
            </w:r>
            <w:r w:rsidRPr="007865AA">
              <w:t>procedures.</w:t>
            </w:r>
          </w:p>
        </w:tc>
      </w:tr>
    </w:tbl>
    <w:p w:rsidR="00000000" w:rsidRPr="007865AA" w:rsidP="007865AA">
      <w:pPr>
        <w:pStyle w:val="BodyText"/>
      </w:pPr>
    </w:p>
    <w:p w:rsidR="00000000" w:rsidRPr="007865AA" w:rsidP="007865AA">
      <w:pPr>
        <w:pStyle w:val="AllowPageBreak"/>
      </w:pPr>
    </w:p>
    <w:p w:rsidR="00000000" w:rsidRPr="007865AA" w:rsidP="007865AA">
      <w:pPr>
        <w:pStyle w:val="Heading1"/>
      </w:pPr>
      <w:bookmarkStart w:id="2" w:name="O_1210535"/>
      <w:bookmarkEnd w:id="2"/>
      <w:r w:rsidRPr="007865AA">
        <w:t>Application</w:t>
      </w:r>
    </w:p>
    <w:p w:rsidR="00000000" w:rsidRPr="007865AA" w:rsidP="00FE1AB8">
      <w:pPr>
        <w:pStyle w:val="BodyText"/>
      </w:pPr>
      <w:r w:rsidRPr="007865AA">
        <w:t>This unit of competency describes the performance outcomes, skills and knowledge required to prepare the dental surgery including equipment, instruments and materials, for dental procedures and assist the practi</w:t>
      </w:r>
      <w:r w:rsidRPr="007865AA">
        <w:t>tioner during dental procedures.</w:t>
      </w:r>
    </w:p>
    <w:p w:rsidR="00000000" w:rsidRPr="007865AA" w:rsidP="00FE1AB8">
      <w:pPr>
        <w:pStyle w:val="BodyText"/>
      </w:pPr>
      <w:r w:rsidRPr="007865AA">
        <w:t>This unit applies to dental assisting work under the instruction and supervision of the dental practitioner.</w:t>
      </w:r>
    </w:p>
    <w:p w:rsidR="00000000" w:rsidRPr="007865AA" w:rsidP="00FE1AB8">
      <w:pPr>
        <w:pStyle w:val="BodyText"/>
      </w:pPr>
      <w:r w:rsidRPr="007865AA">
        <w:t>The skills in this unit must be applied in accordance with Commonwealth and State/Territory legislation, Australia</w:t>
      </w:r>
      <w:r w:rsidRPr="007865AA">
        <w:t>n standards and industry codes of practice.</w:t>
      </w:r>
    </w:p>
    <w:p w:rsidR="00000000" w:rsidRPr="007865AA" w:rsidP="00FE1AB8">
      <w:pPr>
        <w:pStyle w:val="BodyText"/>
      </w:pPr>
      <w:r w:rsidRPr="007865AA">
        <w:t>No occupational licensing, certification or specific legislative requirements apply to this unit at the time of publication.</w:t>
      </w:r>
    </w:p>
    <w:p w:rsidR="00000000" w:rsidRPr="007865AA" w:rsidP="007865AA">
      <w:pPr>
        <w:pStyle w:val="Heading1"/>
      </w:pPr>
      <w:bookmarkStart w:id="3" w:name="O_1210534"/>
      <w:bookmarkEnd w:id="3"/>
      <w:r w:rsidRPr="007865AA">
        <w:t>Pre-requisite Unit</w:t>
      </w:r>
    </w:p>
    <w:p w:rsidR="00000000" w:rsidRPr="007865AA" w:rsidP="00FE1AB8">
      <w:pPr>
        <w:pStyle w:val="BodyText"/>
      </w:pPr>
      <w:r w:rsidRPr="007865AA">
        <w:t>Nil</w:t>
      </w:r>
    </w:p>
    <w:p w:rsidR="00000000" w:rsidRPr="007865AA" w:rsidP="007865AA">
      <w:pPr>
        <w:pStyle w:val="Heading1"/>
      </w:pPr>
      <w:bookmarkStart w:id="4" w:name="O_1210533"/>
      <w:bookmarkEnd w:id="4"/>
      <w:r w:rsidRPr="007865AA">
        <w:t>Competency Field</w:t>
      </w:r>
    </w:p>
    <w:p w:rsidR="00000000" w:rsidRPr="007865AA" w:rsidP="00FE1AB8">
      <w:pPr>
        <w:pStyle w:val="BodyText"/>
      </w:pPr>
      <w:r w:rsidRPr="007865AA">
        <w:t>Dental As</w:t>
      </w:r>
      <w:r w:rsidRPr="007865AA">
        <w:t>sisting</w:t>
      </w:r>
    </w:p>
    <w:p w:rsidR="00000000" w:rsidRPr="007865AA" w:rsidP="007865AA">
      <w:pPr>
        <w:pStyle w:val="Heading1"/>
      </w:pPr>
      <w:bookmarkStart w:id="5" w:name="O_1210532"/>
      <w:bookmarkEnd w:id="5"/>
      <w:r w:rsidRPr="007865AA">
        <w:t>Unit Sector</w:t>
      </w:r>
    </w:p>
    <w:p w:rsidR="00000000" w:rsidRPr="007865AA" w:rsidP="00FE1AB8">
      <w:pPr>
        <w:pStyle w:val="BodyText"/>
      </w:pPr>
      <w:r w:rsidRPr="007865AA">
        <w:t xml:space="preserve">Dental </w:t>
      </w:r>
    </w:p>
    <w:p w:rsidR="00000000" w:rsidRPr="007865AA" w:rsidP="007865AA">
      <w:pPr>
        <w:pStyle w:val="Heading1"/>
      </w:pPr>
      <w:bookmarkStart w:id="6" w:name="O_1210531"/>
      <w:bookmarkEnd w:id="6"/>
      <w:r w:rsidRPr="007865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BodyText"/>
            </w:pPr>
            <w:r w:rsidRPr="007865A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rPr>
                <w:rStyle w:val="SpecialBold"/>
              </w:rPr>
              <w:t>PERFORMANCE</w:t>
            </w:r>
            <w:r w:rsidRPr="007865AA">
              <w:t xml:space="preserve"> </w:t>
            </w:r>
            <w:r w:rsidRPr="007865AA">
              <w:rPr>
                <w:rStyle w:val="SpecialBold"/>
              </w:rPr>
              <w:t>CRITERIA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BodyText"/>
            </w:pPr>
            <w:r w:rsidRPr="007865A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BodyText"/>
              <w:rPr>
                <w:lang w:val="en-NZ"/>
              </w:rPr>
            </w:pPr>
            <w:r w:rsidRPr="00786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1.  Prepare dental surgery for dental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1.1. Make patient records accessible in the surgery clean zone.</w:t>
            </w:r>
          </w:p>
          <w:p w:rsidR="00000000" w:rsidRPr="007865AA" w:rsidP="007865AA">
            <w:pPr>
              <w:pStyle w:val="List"/>
            </w:pPr>
            <w:r w:rsidRPr="007865AA">
              <w:t>1.2. Identify planned procedure.</w:t>
            </w:r>
          </w:p>
          <w:p w:rsidR="00000000" w:rsidRPr="007865AA" w:rsidP="007865AA">
            <w:pPr>
              <w:pStyle w:val="List"/>
            </w:pPr>
            <w:r w:rsidRPr="007865AA">
              <w:t>1.3. Identif</w:t>
            </w:r>
            <w:r w:rsidRPr="007865AA">
              <w:t>y and select equipment, instruments, materials and medicaments for planned procedure and arrange in likely order of use.</w:t>
            </w:r>
          </w:p>
          <w:p w:rsidR="00000000" w:rsidRPr="007865AA" w:rsidP="007865AA">
            <w:pPr>
              <w:pStyle w:val="List"/>
            </w:pPr>
            <w:r w:rsidRPr="007865AA">
              <w:t>1.4. Explain and support patient and provide pre-procedural items to patient.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1.5. Support aseptic techniques to prevent spread of infection.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2.  Use dental terminology.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2.1. Communicate with dental team using dental terminology.</w:t>
            </w:r>
          </w:p>
          <w:p w:rsidR="00000000" w:rsidRPr="007865AA" w:rsidP="007865AA">
            <w:pPr>
              <w:pStyle w:val="List"/>
            </w:pPr>
            <w:r w:rsidRPr="007865AA">
              <w:t>2.2. Receive, interpret and document written and oral instructions using dental terminology.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2.3. Use a</w:t>
            </w:r>
            <w:r w:rsidRPr="007865AA">
              <w:t>nd interpret common dental abbreviations and symbols.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3.  Record personal, medical and dental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3.1. Make accurate, legible and legal records of patient personal, medical and dental information as directed by practitioner.</w:t>
            </w:r>
          </w:p>
          <w:p w:rsidR="00000000" w:rsidRPr="007865AA" w:rsidP="007865AA">
            <w:pPr>
              <w:pStyle w:val="List"/>
            </w:pPr>
            <w:r w:rsidRPr="007865AA">
              <w:t>3.2. Verify records in ac</w:t>
            </w:r>
            <w:r w:rsidRPr="007865AA">
              <w:t>cordance with practitioner requirements.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3.3. Maintain confidentiality of patient information.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4.  Select and prepare syringe local anaesthesia.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4.1. Select and prepare the syringe, cartridge and needle for local anaesthesia as directed by practitioner.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4.2. Check expiry dates and anaesthetic cartridge prior to use.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5.  Assist practitioner during dental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5.1. Select equipment, instruments, materials and medicaments and transfer to the practitioner.</w:t>
            </w:r>
          </w:p>
          <w:p w:rsidR="00000000" w:rsidRPr="007865AA" w:rsidP="007865AA">
            <w:pPr>
              <w:pStyle w:val="List"/>
            </w:pPr>
            <w:r w:rsidRPr="007865AA">
              <w:t xml:space="preserve">5.2. Assist practitioner to maintain a clear </w:t>
            </w:r>
            <w:r w:rsidRPr="007865AA">
              <w:t>field of vision.</w:t>
            </w:r>
          </w:p>
          <w:p w:rsidR="00000000" w:rsidRPr="007865AA" w:rsidP="007865AA">
            <w:pPr>
              <w:pStyle w:val="List"/>
            </w:pPr>
            <w:r w:rsidRPr="007865AA">
              <w:t>5.3. Clear mouth of fluids and debris, and control moisture.</w:t>
            </w:r>
          </w:p>
          <w:p w:rsidR="00000000" w:rsidRPr="007865AA" w:rsidP="007865AA">
            <w:pPr>
              <w:pStyle w:val="List"/>
            </w:pPr>
            <w:r w:rsidRPr="007865AA">
              <w:t>5.4. Retract and protect the patient’s soft tissues using instruments and materials appropriate to the procedure.</w:t>
            </w:r>
          </w:p>
          <w:p w:rsidR="00000000" w:rsidRPr="007865AA" w:rsidP="007865AA">
            <w:pPr>
              <w:pStyle w:val="List"/>
            </w:pPr>
            <w:r w:rsidRPr="007865AA">
              <w:t>5.5. Monitor patient wellbeing and take timely action to support</w:t>
            </w:r>
            <w:r w:rsidRPr="007865AA">
              <w:t xml:space="preserve"> patient and practitioner.</w:t>
            </w:r>
          </w:p>
          <w:p w:rsidR="00000000" w:rsidRPr="007865AA" w:rsidP="007865AA">
            <w:pPr>
              <w:pStyle w:val="List"/>
            </w:pPr>
            <w:r w:rsidRPr="007865AA">
              <w:t xml:space="preserve">5.6. Prepare materials and medicaments using appropriate technique and timing to ensure consistency and quantity following manufacturer instructions. 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5.7. Retrieve additional items, instruments, materials and medicaments using a</w:t>
            </w:r>
            <w:r w:rsidRPr="007865AA">
              <w:t xml:space="preserve">ppropriate methods to avoid contamination. 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6.  Manage waste and decontaminate the clinical area during changeover of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6.1. Wear personal protective equipment throughout the changeover procedure and replace as required to maintain safety and infe</w:t>
            </w:r>
            <w:r w:rsidRPr="007865AA">
              <w:t>ction control.</w:t>
            </w:r>
          </w:p>
          <w:p w:rsidR="00000000" w:rsidRPr="007865AA" w:rsidP="007865AA">
            <w:pPr>
              <w:pStyle w:val="List"/>
            </w:pPr>
            <w:r w:rsidRPr="007865AA">
              <w:t>6.2. Dispose of single use items in waste receptacle.</w:t>
            </w:r>
          </w:p>
          <w:p w:rsidR="00000000" w:rsidRPr="007865AA" w:rsidP="007865AA">
            <w:pPr>
              <w:pStyle w:val="List"/>
            </w:pPr>
            <w:r w:rsidRPr="007865AA">
              <w:t>6.3. Place reusable items in transfer container.</w:t>
            </w:r>
          </w:p>
          <w:p w:rsidR="00000000" w:rsidRPr="007865AA" w:rsidP="007865AA">
            <w:pPr>
              <w:pStyle w:val="List"/>
            </w:pPr>
            <w:r w:rsidRPr="007865AA">
              <w:t>6.4. Flush dental unit water lines and suction.</w:t>
            </w:r>
          </w:p>
          <w:p w:rsidR="00000000" w:rsidRPr="007865AA" w:rsidP="007865AA">
            <w:pPr>
              <w:pStyle w:val="List"/>
            </w:pPr>
            <w:r w:rsidRPr="007865AA">
              <w:t>6.5. Use disposable detergent wipes to clean and decontaminate surfaces using techniques to prevent cross contamination.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6.6. Ensure changeover procedures are carried out using infection prevention and control practices according to current Australian stan</w:t>
            </w:r>
            <w:r w:rsidRPr="007865AA">
              <w:t xml:space="preserve">dards and guidelines. 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7.  Maintain and store instruments, equipment materials and medicaments.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7.1. Maintain instruments and equipment in good working order and fit for purpose.</w:t>
            </w:r>
          </w:p>
          <w:p w:rsidR="00000000" w:rsidRPr="007865AA" w:rsidP="007865AA">
            <w:pPr>
              <w:pStyle w:val="List"/>
            </w:pPr>
            <w:r w:rsidRPr="007865AA">
              <w:t>7.2. Ensure maintenance records are legible and accurate.</w:t>
            </w:r>
          </w:p>
          <w:p w:rsidR="00000000" w:rsidRPr="007865AA" w:rsidP="007865AA">
            <w:pPr>
              <w:pStyle w:val="List"/>
            </w:pPr>
            <w:r w:rsidRPr="007865AA">
              <w:t>7.3. Store instrum</w:t>
            </w:r>
            <w:r w:rsidRPr="007865AA">
              <w:t>ents, equipment, materials and medicaments according to manufacturer instructions and National and State or Territory guidelines.</w:t>
            </w:r>
          </w:p>
          <w:p w:rsidR="00000000" w:rsidRPr="007865AA" w:rsidP="007865AA">
            <w:pPr>
              <w:pStyle w:val="List"/>
            </w:pPr>
            <w:r w:rsidRPr="007865AA">
              <w:t>7.4. Monitor stock rotation and expiry dates.</w:t>
            </w:r>
          </w:p>
          <w:p w:rsidR="00000000" w:rsidP="007865AA">
            <w:pPr>
              <w:pStyle w:val="List"/>
              <w:rPr>
                <w:lang w:val="en-NZ"/>
              </w:rPr>
            </w:pPr>
            <w:r w:rsidRPr="007865AA">
              <w:t>7.5. Ensure packaged sterile items are stored and labelled according to National</w:t>
            </w:r>
            <w:r w:rsidRPr="007865AA">
              <w:t xml:space="preserve"> and State or Territory guidelines.</w:t>
            </w:r>
          </w:p>
        </w:tc>
      </w:tr>
      <w:tr w:rsidTr="0078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AA">
            <w:pPr>
              <w:pStyle w:val="List"/>
              <w:rPr>
                <w:lang w:val="en-NZ"/>
              </w:rPr>
            </w:pPr>
            <w:r w:rsidRPr="007865AA">
              <w:t>8.  Work legally, ethically and professionally in a dental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AA" w:rsidP="007865AA">
            <w:pPr>
              <w:pStyle w:val="List"/>
            </w:pPr>
            <w:r w:rsidRPr="007865AA">
              <w:t>8.1. Identify sources of legal information relating to the dental industry.</w:t>
            </w:r>
          </w:p>
          <w:p w:rsidR="00000000" w:rsidRPr="007865AA" w:rsidP="007865AA">
            <w:pPr>
              <w:pStyle w:val="List"/>
            </w:pPr>
            <w:r w:rsidRPr="007865AA">
              <w:t>8.2. Identify own legal responsibilities in context of the job role.</w:t>
            </w:r>
          </w:p>
          <w:p w:rsidR="00000000" w:rsidRPr="007865AA" w:rsidP="007865AA">
            <w:pPr>
              <w:pStyle w:val="List"/>
            </w:pPr>
            <w:r w:rsidRPr="007865AA">
              <w:t>8.3. A</w:t>
            </w:r>
            <w:r w:rsidRPr="007865AA">
              <w:t>dhere to legal requirements in work practice according. to organisational policies and procedures and work role.</w:t>
            </w:r>
          </w:p>
          <w:p w:rsidR="00000000" w:rsidRPr="007865AA" w:rsidP="007865AA">
            <w:pPr>
              <w:pStyle w:val="List"/>
            </w:pPr>
            <w:r w:rsidRPr="007865AA">
              <w:t>8.4. Recognise situations where reporting is required.</w:t>
            </w:r>
          </w:p>
          <w:p w:rsidR="00000000" w:rsidRPr="007865AA" w:rsidP="007865AA">
            <w:pPr>
              <w:pStyle w:val="List"/>
            </w:pPr>
            <w:r w:rsidRPr="007865AA">
              <w:t xml:space="preserve">8.5. Identify relevant professional bodies and their role. </w:t>
            </w:r>
          </w:p>
          <w:p w:rsidR="00000000" w:rsidRPr="007865AA" w:rsidP="007865AA">
            <w:pPr>
              <w:pStyle w:val="List"/>
            </w:pPr>
            <w:r w:rsidRPr="007865AA">
              <w:t xml:space="preserve">8.6. Identify opportunities </w:t>
            </w:r>
            <w:r w:rsidRPr="007865AA">
              <w:t>and sources of professional development.</w:t>
            </w:r>
          </w:p>
          <w:p w:rsidR="00000000" w:rsidRPr="007865AA" w:rsidP="007865AA">
            <w:pPr>
              <w:pStyle w:val="List"/>
            </w:pPr>
            <w:r w:rsidRPr="007865AA">
              <w:t>8.7. Recognise potential ethical issues, dilemmas and discuss with appropriate person.</w:t>
            </w:r>
          </w:p>
          <w:p w:rsidR="00000000" w:rsidRPr="007865AA" w:rsidP="007865AA">
            <w:pPr>
              <w:pStyle w:val="List"/>
            </w:pPr>
            <w:r w:rsidRPr="007865AA">
              <w:t>8.8. Recognise own personal values and attitudes and take into account to ensure non-judgemental practice.</w:t>
            </w:r>
          </w:p>
        </w:tc>
      </w:tr>
    </w:tbl>
    <w:p w:rsidR="00000000" w:rsidRPr="007865AA" w:rsidP="007865AA">
      <w:pPr>
        <w:pStyle w:val="BodyText"/>
      </w:pPr>
    </w:p>
    <w:p w:rsidR="00000000" w:rsidRPr="007865AA" w:rsidP="007865AA">
      <w:pPr>
        <w:pStyle w:val="AllowPageBreak"/>
      </w:pPr>
    </w:p>
    <w:p w:rsidR="00000000" w:rsidRPr="007865AA" w:rsidP="007865AA">
      <w:pPr>
        <w:pStyle w:val="Heading1"/>
      </w:pPr>
      <w:bookmarkStart w:id="7" w:name="O_1210530"/>
      <w:bookmarkEnd w:id="7"/>
      <w:r w:rsidRPr="007865AA">
        <w:t>Foundation Skills</w:t>
      </w:r>
    </w:p>
    <w:p w:rsidR="00000000" w:rsidRPr="007865AA" w:rsidP="00FE1AB8">
      <w:pPr>
        <w:pStyle w:val="BodyText"/>
      </w:pPr>
      <w:r w:rsidRPr="007865AA">
        <w:t>Foundation skills essential to performance are explicit in the performance criteria of this unit of competency.</w:t>
      </w:r>
    </w:p>
    <w:p w:rsidR="00000000" w:rsidRPr="007865AA" w:rsidP="007865AA">
      <w:pPr>
        <w:pStyle w:val="Heading1"/>
      </w:pPr>
      <w:bookmarkStart w:id="8" w:name="O_1210529"/>
      <w:bookmarkEnd w:id="8"/>
      <w:r w:rsidRPr="007865AA">
        <w:t>Unit Mapping Information</w:t>
      </w:r>
    </w:p>
    <w:p w:rsidR="00000000" w:rsidRPr="007865AA" w:rsidP="00FE1AB8">
      <w:pPr>
        <w:pStyle w:val="BodyText"/>
      </w:pPr>
      <w:r w:rsidRPr="007865AA">
        <w:t>HLTDEN015 Prepare for and assist with dental procedures supersedes and is not equi</w:t>
      </w:r>
      <w:r w:rsidRPr="007865AA">
        <w:t>valent to HLTDEN001 Prepare for and assist with oral health care procedures.</w:t>
      </w:r>
    </w:p>
    <w:p w:rsidR="00000000" w:rsidRPr="007865AA" w:rsidP="007865AA">
      <w:pPr>
        <w:pStyle w:val="Heading1"/>
      </w:pPr>
      <w:bookmarkStart w:id="9" w:name="O_1210537"/>
      <w:bookmarkEnd w:id="9"/>
      <w:r w:rsidRPr="007865AA">
        <w:t>Links</w:t>
      </w:r>
    </w:p>
    <w:p w:rsidR="00000000" w:rsidRPr="007865AA" w:rsidP="00FE1AB8">
      <w:pPr>
        <w:pStyle w:val="BodyText"/>
      </w:pPr>
      <w:r w:rsidRPr="00786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503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65AA" w:rsidP="007865AA"/>
    <w:sectPr w:rsidSect="00786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A" w:rsidRPr="00FE1AB8" w:rsidP="00FE1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B8" w:rsidP="00786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AB8" w:rsidP="00786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1AB8" w:rsidP="00786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5AA" w:rsidRPr="00FE1AB8" w:rsidP="00FE1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B8" w:rsidRPr="002D2AF8" w:rsidP="00786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HLTDEN015 Prepare for and assist with dental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E1AB8" w:rsidP="00786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5AA"/>
  </w:style>
  <w:style w:type="character" w:customStyle="1" w:styleId="Heading1Char">
    <w:name w:val="Heading 1 Char"/>
    <w:basedOn w:val="DefaultParagraphFont"/>
    <w:link w:val="Heading1"/>
    <w:rsid w:val="00786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5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65A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865AA"/>
    <w:rPr>
      <w:b/>
      <w:spacing w:val="0"/>
    </w:rPr>
  </w:style>
  <w:style w:type="character" w:styleId="Emphasis">
    <w:name w:val="Emphasis"/>
    <w:basedOn w:val="DefaultParagraphFont"/>
    <w:qFormat/>
    <w:rsid w:val="007865AA"/>
    <w:rPr>
      <w:i/>
    </w:rPr>
  </w:style>
  <w:style w:type="paragraph" w:customStyle="1" w:styleId="SuperHeading">
    <w:name w:val="SuperHeading"/>
    <w:basedOn w:val="Normal"/>
    <w:rsid w:val="00786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5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865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6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5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6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5AA"/>
  </w:style>
  <w:style w:type="paragraph" w:styleId="TableofFigures">
    <w:name w:val="table of figures"/>
    <w:basedOn w:val="Normal"/>
    <w:next w:val="Normal"/>
    <w:semiHidden/>
    <w:rsid w:val="00786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5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65AA"/>
    <w:rPr>
      <w:rFonts w:ascii="Wingdings" w:hAnsi="Wingdings"/>
    </w:rPr>
  </w:style>
  <w:style w:type="paragraph" w:customStyle="1" w:styleId="TableHeading">
    <w:name w:val="Table Heading"/>
    <w:basedOn w:val="HeadingBase"/>
    <w:rsid w:val="00786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5AA"/>
    <w:rPr>
      <w:color w:val="0033CC"/>
      <w:u w:val="none"/>
    </w:rPr>
  </w:style>
  <w:style w:type="paragraph" w:customStyle="1" w:styleId="BodyTextRight">
    <w:name w:val="Body Text Right"/>
    <w:basedOn w:val="BodyText"/>
    <w:rsid w:val="00786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5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5AA"/>
    <w:rPr>
      <w:sz w:val="32"/>
    </w:rPr>
  </w:style>
  <w:style w:type="paragraph" w:customStyle="1" w:styleId="HeadingProcedure">
    <w:name w:val="Heading Procedure"/>
    <w:basedOn w:val="HeadingBase"/>
    <w:next w:val="Normal"/>
    <w:rsid w:val="00786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5AA"/>
    <w:pPr>
      <w:spacing w:before="60" w:after="60"/>
    </w:pPr>
  </w:style>
  <w:style w:type="paragraph" w:styleId="ListContinue">
    <w:name w:val="List Continue"/>
    <w:basedOn w:val="List"/>
    <w:rsid w:val="007865AA"/>
    <w:pPr>
      <w:ind w:firstLine="0"/>
    </w:pPr>
  </w:style>
  <w:style w:type="paragraph" w:customStyle="1" w:styleId="ListNote">
    <w:name w:val="List Note"/>
    <w:basedOn w:val="List"/>
    <w:rsid w:val="00786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5AA"/>
    <w:rPr>
      <w:rFonts w:ascii="Courier New" w:hAnsi="Courier New"/>
    </w:rPr>
  </w:style>
  <w:style w:type="paragraph" w:customStyle="1" w:styleId="NoteBullet">
    <w:name w:val="Note Bullet"/>
    <w:basedOn w:val="Note"/>
    <w:rsid w:val="00786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5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6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5AA"/>
    <w:rPr>
      <w:b/>
      <w:smallCaps/>
    </w:rPr>
  </w:style>
  <w:style w:type="paragraph" w:customStyle="1" w:styleId="TableListNumber">
    <w:name w:val="Table List Number"/>
    <w:basedOn w:val="ListNumber"/>
    <w:rsid w:val="00786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5AA"/>
    <w:pPr>
      <w:numPr>
        <w:numId w:val="7"/>
      </w:numPr>
    </w:pPr>
  </w:style>
  <w:style w:type="paragraph" w:customStyle="1" w:styleId="ListAlpha2">
    <w:name w:val="List Alpha 2"/>
    <w:basedOn w:val="List2"/>
    <w:rsid w:val="007865AA"/>
    <w:pPr>
      <w:numPr>
        <w:numId w:val="6"/>
      </w:numPr>
    </w:pPr>
  </w:style>
  <w:style w:type="paragraph" w:styleId="List2">
    <w:name w:val="List 2"/>
    <w:basedOn w:val="BodyText"/>
    <w:rsid w:val="00786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5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5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65AA"/>
    <w:pPr>
      <w:numPr>
        <w:numId w:val="2"/>
      </w:numPr>
    </w:pPr>
  </w:style>
  <w:style w:type="paragraph" w:styleId="ListContinue2">
    <w:name w:val="List Continue 2"/>
    <w:basedOn w:val="List2"/>
    <w:rsid w:val="007865AA"/>
    <w:pPr>
      <w:ind w:firstLine="0"/>
    </w:pPr>
  </w:style>
  <w:style w:type="paragraph" w:styleId="ListContinue3">
    <w:name w:val="List Continue 3"/>
    <w:basedOn w:val="List3"/>
    <w:rsid w:val="007865AA"/>
    <w:pPr>
      <w:ind w:left="1021" w:firstLine="0"/>
    </w:pPr>
  </w:style>
  <w:style w:type="paragraph" w:styleId="ListContinue4">
    <w:name w:val="List Continue 4"/>
    <w:basedOn w:val="List4"/>
    <w:rsid w:val="007865AA"/>
    <w:pPr>
      <w:ind w:firstLine="0"/>
    </w:pPr>
  </w:style>
  <w:style w:type="paragraph" w:styleId="ListContinue5">
    <w:name w:val="List Continue 5"/>
    <w:basedOn w:val="List5"/>
    <w:rsid w:val="007865AA"/>
    <w:pPr>
      <w:ind w:firstLine="0"/>
    </w:pPr>
  </w:style>
  <w:style w:type="paragraph" w:styleId="ListNumber3">
    <w:name w:val="List Number 3"/>
    <w:basedOn w:val="List3"/>
    <w:rsid w:val="007865AA"/>
    <w:pPr>
      <w:numPr>
        <w:numId w:val="3"/>
      </w:numPr>
    </w:pPr>
  </w:style>
  <w:style w:type="paragraph" w:styleId="ListNumber4">
    <w:name w:val="List Number 4"/>
    <w:basedOn w:val="List4"/>
    <w:rsid w:val="007865AA"/>
    <w:pPr>
      <w:numPr>
        <w:numId w:val="4"/>
      </w:numPr>
    </w:pPr>
  </w:style>
  <w:style w:type="paragraph" w:styleId="ListNumber5">
    <w:name w:val="List Number 5"/>
    <w:basedOn w:val="List5"/>
    <w:rsid w:val="007865AA"/>
    <w:pPr>
      <w:numPr>
        <w:numId w:val="5"/>
      </w:numPr>
    </w:pPr>
  </w:style>
  <w:style w:type="paragraph" w:styleId="BlockText">
    <w:name w:val="Block Text"/>
    <w:basedOn w:val="Normal"/>
    <w:rsid w:val="00786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5AA"/>
    <w:rPr>
      <w:sz w:val="16"/>
      <w:vertAlign w:val="superscript"/>
    </w:rPr>
  </w:style>
  <w:style w:type="character" w:customStyle="1" w:styleId="Symbols">
    <w:name w:val="Symbols"/>
    <w:basedOn w:val="DefaultParagraphFont"/>
    <w:rsid w:val="007865AA"/>
    <w:rPr>
      <w:rFonts w:ascii="Symbol" w:hAnsi="Symbol"/>
    </w:rPr>
  </w:style>
  <w:style w:type="character" w:customStyle="1" w:styleId="MenuOptions">
    <w:name w:val="Menu Options"/>
    <w:basedOn w:val="DefaultParagraphFont"/>
    <w:rsid w:val="00786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5AA"/>
    <w:rPr>
      <w:b/>
    </w:rPr>
  </w:style>
  <w:style w:type="character" w:customStyle="1" w:styleId="Underlined">
    <w:name w:val="Underlined"/>
    <w:basedOn w:val="DefaultParagraphFont"/>
    <w:rsid w:val="007865AA"/>
    <w:rPr>
      <w:u w:val="single"/>
    </w:rPr>
  </w:style>
  <w:style w:type="paragraph" w:customStyle="1" w:styleId="TableBodyTextRight">
    <w:name w:val="Table Body Text Right"/>
    <w:basedOn w:val="TableBodyText"/>
    <w:rsid w:val="00786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5AA"/>
    <w:rPr>
      <w:sz w:val="18"/>
    </w:rPr>
  </w:style>
  <w:style w:type="paragraph" w:customStyle="1" w:styleId="BodySmallRight">
    <w:name w:val="Body Small Right"/>
    <w:basedOn w:val="BodyTextRight"/>
    <w:rsid w:val="007865AA"/>
    <w:rPr>
      <w:sz w:val="18"/>
      <w:szCs w:val="18"/>
    </w:rPr>
  </w:style>
  <w:style w:type="paragraph" w:customStyle="1" w:styleId="MarginEdition">
    <w:name w:val="Margin Edition"/>
    <w:basedOn w:val="MarginNote"/>
    <w:rsid w:val="00786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5AA"/>
    <w:rPr>
      <w:sz w:val="2"/>
      <w:szCs w:val="2"/>
    </w:rPr>
  </w:style>
  <w:style w:type="character" w:customStyle="1" w:styleId="Small">
    <w:name w:val="Small"/>
    <w:basedOn w:val="DefaultParagraphFont"/>
    <w:rsid w:val="007865AA"/>
    <w:rPr>
      <w:sz w:val="16"/>
    </w:rPr>
  </w:style>
  <w:style w:type="paragraph" w:customStyle="1" w:styleId="WideTable">
    <w:name w:val="Wide Table"/>
    <w:basedOn w:val="Normal"/>
    <w:rsid w:val="00786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5AA"/>
  </w:style>
  <w:style w:type="paragraph" w:styleId="Quote">
    <w:name w:val="Quote"/>
    <w:basedOn w:val="Heading1"/>
    <w:link w:val="QuoteChar"/>
    <w:qFormat/>
    <w:rsid w:val="00786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5AA"/>
    <w:pPr>
      <w:pageBreakBefore/>
    </w:pPr>
  </w:style>
  <w:style w:type="paragraph" w:customStyle="1" w:styleId="Border">
    <w:name w:val="Border"/>
    <w:basedOn w:val="Normal"/>
    <w:qFormat/>
    <w:rsid w:val="00786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5AA"/>
    <w:rPr>
      <w:u w:val="single"/>
    </w:rPr>
  </w:style>
  <w:style w:type="character" w:customStyle="1" w:styleId="BoldandItalics">
    <w:name w:val="Bold and Italics"/>
    <w:qFormat/>
    <w:rsid w:val="007865AA"/>
    <w:rPr>
      <w:b/>
      <w:i/>
      <w:u w:val="none"/>
    </w:rPr>
  </w:style>
  <w:style w:type="paragraph" w:styleId="BalloonText">
    <w:name w:val="Balloon Text"/>
    <w:basedOn w:val="Normal"/>
    <w:link w:val="BalloonTextChar"/>
    <w:rsid w:val="00786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5AA"/>
    <w:pPr>
      <w:spacing w:before="0" w:after="0"/>
    </w:pPr>
  </w:style>
  <w:style w:type="paragraph" w:customStyle="1" w:styleId="BodyTextBold">
    <w:name w:val="Body Text Bold"/>
    <w:basedOn w:val="BodyText"/>
    <w:qFormat/>
    <w:rsid w:val="007865AA"/>
    <w:rPr>
      <w:b/>
    </w:rPr>
  </w:style>
  <w:style w:type="character" w:styleId="Hyperlink">
    <w:name w:val="Hyperlink"/>
    <w:basedOn w:val="DefaultParagraphFont"/>
    <w:uiPriority w:val="99"/>
    <w:unhideWhenUsed/>
    <w:rsid w:val="00FE1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5209</Characters>
  <Application>Microsoft Office Word</Application>
  <DocSecurity>0</DocSecurity>
  <Lines>162</Lines>
  <Paragraphs>97</Paragraphs>
  <ScaleCrop>false</ScaleCrop>
  <Company>Author-it Software Corporation Ltd.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HLTDEN015 Prepare for and assist with dental procedures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