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2DD" w:rsidP="008072DD">
      <w:pPr>
        <w:pStyle w:val="Title"/>
      </w:pPr>
      <w:r>
        <w:fldChar w:fldCharType="begin"/>
      </w:r>
      <w:r>
        <w:instrText xml:space="preserve"> TITLE   \* MERGEFORMAT </w:instrText>
      </w:r>
      <w:r>
        <w:fldChar w:fldCharType="separate"/>
      </w:r>
      <w:r>
        <w:t>HLTDEN010 Implement an oral hygiene program for older people</w:t>
      </w:r>
      <w:r>
        <w:fldChar w:fldCharType="end"/>
      </w:r>
    </w:p>
    <w:p w:rsidR="008072DD" w:rsidP="008072DD">
      <w:pPr>
        <w:pStyle w:val="Version"/>
        <w:sectPr w:rsidSect="005244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475" w:rsidP="00524475">
      <w:pPr>
        <w:pStyle w:val="SuperHeading"/>
      </w:pPr>
      <w:r w:rsidRPr="00524475">
        <w:t>HLTDEN010 Implement an oral hygiene program for older people</w:t>
      </w:r>
    </w:p>
    <w:p w:rsidR="00000000" w:rsidRPr="00524475" w:rsidP="00524475">
      <w:pPr>
        <w:pStyle w:val="Heading1"/>
      </w:pPr>
      <w:bookmarkStart w:id="1" w:name="O_819202"/>
      <w:bookmarkEnd w:id="1"/>
      <w:r w:rsidRPr="00524475">
        <w:t>Modification History</w:t>
      </w:r>
    </w:p>
    <w:tbl>
      <w:tblPr>
        <w:tblW w:w="0" w:type="auto"/>
        <w:tblCellMar>
          <w:left w:w="62" w:type="dxa"/>
          <w:right w:w="62" w:type="dxa"/>
        </w:tblCellMar>
        <w:tblLook w:val="0000"/>
      </w:tblPr>
      <w:tblGrid>
        <w:gridCol w:w="2147"/>
        <w:gridCol w:w="7049"/>
      </w:tblGrid>
      <w:tr w:rsidTr="008072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475">
            <w:pPr>
              <w:pStyle w:val="BodyText"/>
              <w:rPr>
                <w:lang w:val="en-NZ"/>
              </w:rPr>
            </w:pPr>
            <w:r w:rsidRPr="00524475">
              <w:t xml:space="preserve">Release </w:t>
            </w:r>
            <w:r w:rsidRPr="0052447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475">
            <w:pPr>
              <w:pStyle w:val="BodyText"/>
              <w:rPr>
                <w:lang w:val="en-NZ"/>
              </w:rPr>
            </w:pPr>
            <w:r w:rsidRPr="00524475">
              <w:t xml:space="preserve">Comments </w:t>
            </w:r>
          </w:p>
        </w:tc>
      </w:tr>
      <w:tr w:rsidTr="008072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475">
            <w:pPr>
              <w:pStyle w:val="BodyText"/>
              <w:rPr>
                <w:lang w:val="en-NZ"/>
              </w:rPr>
            </w:pPr>
            <w:r w:rsidRPr="0052447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475" w:rsidP="00524475">
            <w:pPr>
              <w:pStyle w:val="BodyText"/>
            </w:pPr>
            <w:r w:rsidRPr="00524475">
              <w:t xml:space="preserve">This version was released in </w:t>
            </w:r>
            <w:r w:rsidRPr="00524475">
              <w:rPr>
                <w:rStyle w:val="Emphasis"/>
              </w:rPr>
              <w:t>HLT Health Training Package release 3.0</w:t>
            </w:r>
            <w:r w:rsidRPr="00524475">
              <w:t xml:space="preserve"> and meets the requirements of the 2012 Standards for Training Packages.</w:t>
            </w:r>
          </w:p>
          <w:p w:rsidR="00000000" w:rsidRPr="00524475" w:rsidP="00524475">
            <w:pPr>
              <w:pStyle w:val="BodyText"/>
            </w:pPr>
            <w:r w:rsidRPr="00524475">
              <w:t>Minimal changes to the elements and performance</w:t>
            </w:r>
            <w:r w:rsidRPr="00524475">
              <w:t xml:space="preserve"> criteria. New evidence requirements for assessment including volume and frequency requirements. Removal of pre-requisites</w:t>
            </w:r>
          </w:p>
          <w:p w:rsidR="00000000" w:rsidRPr="00524475" w:rsidP="00524475">
            <w:pPr>
              <w:pStyle w:val="BodyText"/>
            </w:pPr>
            <w:r w:rsidRPr="00524475">
              <w:t>Supersedes HLTDA413B</w:t>
            </w:r>
          </w:p>
        </w:tc>
      </w:tr>
    </w:tbl>
    <w:p w:rsidR="00000000" w:rsidRPr="00524475" w:rsidP="00524475">
      <w:pPr>
        <w:pStyle w:val="BodyText"/>
      </w:pPr>
    </w:p>
    <w:p w:rsidR="00000000" w:rsidRPr="00524475" w:rsidP="00524475">
      <w:pPr>
        <w:pStyle w:val="AllowPageBreak"/>
      </w:pPr>
    </w:p>
    <w:p w:rsidR="00000000" w:rsidRPr="00524475" w:rsidP="00524475">
      <w:pPr>
        <w:pStyle w:val="Heading1"/>
      </w:pPr>
      <w:bookmarkStart w:id="2" w:name="O_819203"/>
      <w:bookmarkEnd w:id="2"/>
      <w:r w:rsidRPr="00524475">
        <w:t>Application</w:t>
      </w:r>
    </w:p>
    <w:p w:rsidR="00000000" w:rsidRPr="00524475" w:rsidP="008072DD">
      <w:pPr>
        <w:pStyle w:val="BodyText"/>
      </w:pPr>
      <w:r w:rsidRPr="00524475">
        <w:t>This unit of competency describes the skills and knowledge required to promote or</w:t>
      </w:r>
      <w:r w:rsidRPr="00524475">
        <w:t xml:space="preserve">al health for older people. </w:t>
      </w:r>
    </w:p>
    <w:p w:rsidR="00000000" w:rsidRPr="00524475" w:rsidP="008072DD">
      <w:pPr>
        <w:pStyle w:val="BodyText"/>
      </w:pPr>
      <w:r w:rsidRPr="00524475">
        <w:t>This unit applies to dental assistants and to other health care workers who are actively involved in promoting the general well-being of older patients through the promotion of healthy eating habits and good oral health.</w:t>
      </w:r>
    </w:p>
    <w:p w:rsidR="008072DD" w:rsidRPr="008072DD" w:rsidP="008072DD">
      <w:pPr>
        <w:pStyle w:val="BodyText"/>
        <w:rPr>
          <w:i/>
        </w:rPr>
      </w:pPr>
      <w:r w:rsidRPr="008072DD">
        <w:rPr>
          <w:rStyle w:val="Emphasis"/>
        </w:rPr>
        <w:t xml:space="preserve">The </w:t>
      </w:r>
      <w:r w:rsidRPr="008072DD">
        <w:rPr>
          <w:rStyle w:val="Emphasis"/>
        </w:rPr>
        <w:t>skills in this unit must be applied in accordance with Commonwealth and State/Territory legislation, Australian/New Zealand Standards and industry codes of practice</w:t>
      </w:r>
      <w:r w:rsidRPr="008072DD">
        <w:rPr>
          <w:i/>
        </w:rPr>
        <w:t>.</w:t>
      </w:r>
    </w:p>
    <w:p w:rsidR="00000000" w:rsidRPr="00524475" w:rsidP="00524475">
      <w:pPr>
        <w:pStyle w:val="Heading1"/>
      </w:pPr>
      <w:bookmarkStart w:id="3" w:name="O_819207"/>
      <w:bookmarkEnd w:id="3"/>
      <w:r w:rsidRPr="00524475">
        <w:t>Elements and Performance Criteria</w:t>
      </w:r>
    </w:p>
    <w:tbl>
      <w:tblPr>
        <w:tblW w:w="0" w:type="auto"/>
        <w:tblLayout w:type="fixed"/>
        <w:tblCellMar>
          <w:left w:w="62" w:type="dxa"/>
          <w:right w:w="62" w:type="dxa"/>
        </w:tblCellMar>
        <w:tblLook w:val="0000"/>
      </w:tblPr>
      <w:tblGrid>
        <w:gridCol w:w="3261"/>
        <w:gridCol w:w="5702"/>
      </w:tblGrid>
      <w:tr w:rsidTr="005244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24475" w:rsidP="00524475">
            <w:pPr>
              <w:pStyle w:val="BodyText"/>
            </w:pPr>
            <w:r w:rsidRPr="005244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24475">
            <w:pPr>
              <w:pStyle w:val="BodyText"/>
              <w:rPr>
                <w:lang w:val="en-NZ"/>
              </w:rPr>
            </w:pPr>
            <w:r w:rsidRPr="00524475">
              <w:rPr>
                <w:rStyle w:val="SpecialBold"/>
              </w:rPr>
              <w:t>PERFORMANCE CRITERIA</w:t>
            </w:r>
          </w:p>
        </w:tc>
      </w:tr>
      <w:tr w:rsidTr="0052447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524475">
            <w:pPr>
              <w:pStyle w:val="BodyText"/>
              <w:rPr>
                <w:lang w:val="en-NZ"/>
              </w:rPr>
            </w:pPr>
            <w:r w:rsidRPr="00524475">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24475">
            <w:pPr>
              <w:pStyle w:val="BodyText"/>
              <w:rPr>
                <w:lang w:val="en-NZ"/>
              </w:rPr>
            </w:pPr>
            <w:r w:rsidRPr="00524475">
              <w:t>Performance criteria describe the performance needed to demonstrate achievement of the element.</w:t>
            </w:r>
          </w:p>
        </w:tc>
      </w:tr>
      <w:tr w:rsidTr="005244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24475">
            <w:pPr>
              <w:pStyle w:val="BodyText"/>
              <w:rPr>
                <w:lang w:val="en-NZ"/>
              </w:rPr>
            </w:pPr>
            <w:r w:rsidRPr="00524475">
              <w:t>1. Assess the oral health needs of an older person</w:t>
            </w:r>
          </w:p>
        </w:tc>
        <w:tc>
          <w:tcPr>
            <w:tcW w:w="5702" w:type="dxa"/>
            <w:tcBorders>
              <w:top w:val="nil"/>
              <w:left w:val="nil"/>
              <w:bottom w:val="nil"/>
              <w:right w:val="nil"/>
            </w:tcBorders>
            <w:tcMar>
              <w:top w:w="0" w:type="dxa"/>
              <w:left w:w="62" w:type="dxa"/>
              <w:bottom w:w="0" w:type="dxa"/>
              <w:right w:w="62" w:type="dxa"/>
            </w:tcMar>
          </w:tcPr>
          <w:p w:rsidR="00000000" w:rsidRPr="00524475" w:rsidP="00524475">
            <w:pPr>
              <w:pStyle w:val="BodyText"/>
            </w:pPr>
            <w:r w:rsidRPr="00524475">
              <w:t xml:space="preserve">1.1 Check medical and dental history with patient or family or carer </w:t>
            </w:r>
            <w:r w:rsidRPr="00524475">
              <w:t>to confirm up-to-date information</w:t>
            </w:r>
          </w:p>
          <w:p w:rsidR="00000000" w:rsidRPr="00524475" w:rsidP="00524475">
            <w:pPr>
              <w:pStyle w:val="BodyText"/>
            </w:pPr>
            <w:r w:rsidRPr="00524475">
              <w:t>1.2 Actively encourage the patient to discuss oral health problems without embarrassment</w:t>
            </w:r>
          </w:p>
          <w:p w:rsidR="00000000" w:rsidRPr="00524475" w:rsidP="00524475">
            <w:pPr>
              <w:pStyle w:val="BodyText"/>
            </w:pPr>
            <w:r w:rsidRPr="00524475">
              <w:t>1.3 Identify oral health problems for older people and their relationship to general health problems</w:t>
            </w:r>
          </w:p>
          <w:p w:rsidR="00000000" w:rsidRPr="00524475" w:rsidP="00524475">
            <w:pPr>
              <w:pStyle w:val="BodyText"/>
            </w:pPr>
            <w:r w:rsidRPr="00524475">
              <w:t>1.4  Identify individualised fac</w:t>
            </w:r>
            <w:r w:rsidRPr="00524475">
              <w:t xml:space="preserve">tors that increase the risk </w:t>
            </w:r>
            <w:r w:rsidRPr="00524475">
              <w:t>of oral disease for older persons</w:t>
            </w:r>
          </w:p>
          <w:p w:rsidR="00000000" w:rsidRPr="00524475" w:rsidP="00524475">
            <w:pPr>
              <w:pStyle w:val="BodyText"/>
            </w:pPr>
            <w:r w:rsidRPr="00524475">
              <w:t>1.5 Look in the patient’s mouth while cleaning or assisting with oral care</w:t>
            </w:r>
          </w:p>
          <w:p w:rsidR="00000000" w:rsidRPr="00524475" w:rsidP="00524475">
            <w:pPr>
              <w:pStyle w:val="BodyText"/>
            </w:pPr>
            <w:r w:rsidRPr="00524475">
              <w:t>1.6 Identify patients with natural teeth, those who wear dentures and those who are non-denture wearers</w:t>
            </w:r>
          </w:p>
          <w:p w:rsidR="00000000" w:rsidRPr="00524475" w:rsidP="00524475">
            <w:pPr>
              <w:pStyle w:val="BodyText"/>
            </w:pPr>
            <w:r w:rsidRPr="00524475">
              <w:t>1.7 Identify pr</w:t>
            </w:r>
            <w:r w:rsidRPr="00524475">
              <w:t>oblems that require referral to a dentist</w:t>
            </w:r>
          </w:p>
          <w:p w:rsidR="00000000" w:rsidP="00524475">
            <w:pPr>
              <w:pStyle w:val="BodyText"/>
              <w:rPr>
                <w:lang w:val="en-NZ"/>
              </w:rPr>
            </w:pPr>
          </w:p>
        </w:tc>
      </w:tr>
      <w:tr w:rsidTr="005244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24475">
            <w:pPr>
              <w:pStyle w:val="BodyText"/>
              <w:rPr>
                <w:lang w:val="en-NZ"/>
              </w:rPr>
            </w:pPr>
            <w:r w:rsidRPr="00524475">
              <w:t>2. Provide support for the maintenance of oral hygiene for older persons</w:t>
            </w:r>
          </w:p>
        </w:tc>
        <w:tc>
          <w:tcPr>
            <w:tcW w:w="5702" w:type="dxa"/>
            <w:tcBorders>
              <w:top w:val="nil"/>
              <w:left w:val="nil"/>
              <w:bottom w:val="nil"/>
              <w:right w:val="nil"/>
            </w:tcBorders>
            <w:tcMar>
              <w:top w:w="0" w:type="dxa"/>
              <w:left w:w="62" w:type="dxa"/>
              <w:bottom w:w="0" w:type="dxa"/>
              <w:right w:w="62" w:type="dxa"/>
            </w:tcMar>
          </w:tcPr>
          <w:p w:rsidR="00000000" w:rsidRPr="00524475" w:rsidP="00524475">
            <w:pPr>
              <w:pStyle w:val="BodyText"/>
            </w:pPr>
            <w:r w:rsidRPr="00524475">
              <w:t>2.1 Ensure flexibility of oral hygiene instruction taking into consideration a patient’s individual circumstances</w:t>
            </w:r>
          </w:p>
          <w:p w:rsidR="00000000" w:rsidRPr="00524475" w:rsidP="00524475">
            <w:pPr>
              <w:pStyle w:val="BodyText"/>
            </w:pPr>
            <w:r w:rsidRPr="00524475">
              <w:t>2.2 Demonstrate an understanding of the economic and psychological factors that may affect the oral health of older people</w:t>
            </w:r>
          </w:p>
          <w:p w:rsidR="00000000" w:rsidRPr="00524475" w:rsidP="00524475">
            <w:pPr>
              <w:pStyle w:val="BodyText"/>
            </w:pPr>
            <w:r w:rsidRPr="00524475">
              <w:t>2.3 Provide an appropriate environment for oral hygiene instruction</w:t>
            </w:r>
          </w:p>
          <w:p w:rsidR="00000000" w:rsidRPr="00524475" w:rsidP="00524475">
            <w:pPr>
              <w:pStyle w:val="BodyText"/>
            </w:pPr>
            <w:r w:rsidRPr="00524475">
              <w:t>2.4 Develop and give oral hygiene information to patients and car</w:t>
            </w:r>
            <w:r w:rsidRPr="00524475">
              <w:t>ers using language and in a manner they can understand.</w:t>
            </w:r>
          </w:p>
          <w:p w:rsidR="00000000" w:rsidP="00524475">
            <w:pPr>
              <w:pStyle w:val="BodyText"/>
              <w:rPr>
                <w:lang w:val="en-NZ"/>
              </w:rPr>
            </w:pPr>
          </w:p>
        </w:tc>
      </w:tr>
      <w:tr w:rsidTr="005244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24475">
            <w:pPr>
              <w:pStyle w:val="BodyText"/>
              <w:rPr>
                <w:lang w:val="en-NZ"/>
              </w:rPr>
            </w:pPr>
            <w:r w:rsidRPr="00524475">
              <w:t>3. Implement practical solutions to promote oral health</w:t>
            </w:r>
          </w:p>
        </w:tc>
        <w:tc>
          <w:tcPr>
            <w:tcW w:w="5702" w:type="dxa"/>
            <w:tcBorders>
              <w:top w:val="nil"/>
              <w:left w:val="nil"/>
              <w:bottom w:val="nil"/>
              <w:right w:val="nil"/>
            </w:tcBorders>
            <w:tcMar>
              <w:top w:w="0" w:type="dxa"/>
              <w:left w:w="62" w:type="dxa"/>
              <w:bottom w:w="0" w:type="dxa"/>
              <w:right w:w="62" w:type="dxa"/>
            </w:tcMar>
          </w:tcPr>
          <w:p w:rsidR="00000000" w:rsidRPr="00524475" w:rsidP="00524475">
            <w:pPr>
              <w:pStyle w:val="BodyText"/>
            </w:pPr>
            <w:r w:rsidRPr="00524475">
              <w:t>3.1 Explain actively to patients and carers the importance of regular dental care to maintain quality of life</w:t>
            </w:r>
          </w:p>
          <w:p w:rsidR="00000000" w:rsidRPr="00524475" w:rsidP="00524475">
            <w:pPr>
              <w:pStyle w:val="BodyText"/>
            </w:pPr>
            <w:r w:rsidRPr="00524475">
              <w:t xml:space="preserve">3.2 Recommend lifestyle changes </w:t>
            </w:r>
            <w:r w:rsidRPr="00524475">
              <w:t>to assist the older person’s diminished salivary flow in consultation with dental practitioner</w:t>
            </w:r>
          </w:p>
          <w:p w:rsidR="00000000" w:rsidRPr="00524475" w:rsidP="00524475">
            <w:pPr>
              <w:pStyle w:val="BodyText"/>
            </w:pPr>
            <w:r w:rsidRPr="00524475">
              <w:t>3.3 Provide appropriate information to patients and carers for healthy food habits that support oral health</w:t>
            </w:r>
          </w:p>
          <w:p w:rsidR="00000000" w:rsidRPr="00524475" w:rsidP="00524475">
            <w:pPr>
              <w:pStyle w:val="BodyText"/>
            </w:pPr>
            <w:r w:rsidRPr="00524475">
              <w:t>3.4 Actively encourage patients or carers to clean te</w:t>
            </w:r>
            <w:r w:rsidRPr="00524475">
              <w:t>eth or dentures after meals</w:t>
            </w:r>
          </w:p>
          <w:p w:rsidR="00000000" w:rsidRPr="00524475" w:rsidP="00524475">
            <w:pPr>
              <w:pStyle w:val="BodyText"/>
            </w:pPr>
            <w:r w:rsidRPr="00524475">
              <w:t>3.5 Engage carers with appropriate oral health care promotion programs and resources</w:t>
            </w:r>
          </w:p>
          <w:p w:rsidR="00000000" w:rsidP="00524475">
            <w:pPr>
              <w:pStyle w:val="BodyText"/>
              <w:rPr>
                <w:lang w:val="en-NZ"/>
              </w:rPr>
            </w:pPr>
          </w:p>
        </w:tc>
      </w:tr>
      <w:tr w:rsidTr="0052447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24475">
            <w:pPr>
              <w:pStyle w:val="BodyText"/>
              <w:rPr>
                <w:lang w:val="en-NZ"/>
              </w:rPr>
            </w:pPr>
            <w:r w:rsidRPr="00524475">
              <w:t>4. Maintain oral health of people in residential aged care</w:t>
            </w:r>
          </w:p>
        </w:tc>
        <w:tc>
          <w:tcPr>
            <w:tcW w:w="5702" w:type="dxa"/>
            <w:tcBorders>
              <w:top w:val="nil"/>
              <w:left w:val="nil"/>
              <w:bottom w:val="nil"/>
              <w:right w:val="nil"/>
            </w:tcBorders>
            <w:tcMar>
              <w:top w:w="0" w:type="dxa"/>
              <w:left w:w="62" w:type="dxa"/>
              <w:bottom w:w="0" w:type="dxa"/>
              <w:right w:w="62" w:type="dxa"/>
            </w:tcMar>
          </w:tcPr>
          <w:p w:rsidR="00000000" w:rsidRPr="00524475" w:rsidP="00524475">
            <w:pPr>
              <w:pStyle w:val="BodyText"/>
            </w:pPr>
            <w:r w:rsidRPr="00524475">
              <w:t>4.1 Ensure all removable dentures are visibly marked with the patient’s identifica</w:t>
            </w:r>
            <w:r w:rsidRPr="00524475">
              <w:t>tion</w:t>
            </w:r>
          </w:p>
          <w:p w:rsidR="00000000" w:rsidRPr="00524475" w:rsidP="00524475">
            <w:pPr>
              <w:pStyle w:val="BodyText"/>
            </w:pPr>
            <w:r w:rsidRPr="00524475">
              <w:t>4.2 Record oral health in the patient’s personal care plan</w:t>
            </w:r>
          </w:p>
          <w:p w:rsidR="00000000" w:rsidRPr="00524475" w:rsidP="00524475">
            <w:pPr>
              <w:pStyle w:val="BodyText"/>
            </w:pPr>
            <w:r w:rsidRPr="00524475">
              <w:t xml:space="preserve">4.3 Implement individual oral health programs in </w:t>
            </w:r>
            <w:r w:rsidRPr="00524475">
              <w:t>consultation with dental professional</w:t>
            </w:r>
          </w:p>
          <w:p w:rsidR="00000000" w:rsidRPr="00524475" w:rsidP="00524475">
            <w:pPr>
              <w:pStyle w:val="BodyText"/>
            </w:pPr>
            <w:r w:rsidRPr="00524475">
              <w:t>4.4 Assist patients with special needs to clean their teeth</w:t>
            </w:r>
          </w:p>
          <w:p w:rsidR="00000000" w:rsidRPr="00524475" w:rsidP="00524475">
            <w:pPr>
              <w:pStyle w:val="BodyText"/>
            </w:pPr>
            <w:r w:rsidRPr="00524475">
              <w:t xml:space="preserve">4.5 Assist patients or their carers to clean </w:t>
            </w:r>
            <w:r w:rsidRPr="00524475">
              <w:t>and maintain dentures</w:t>
            </w:r>
          </w:p>
        </w:tc>
      </w:tr>
    </w:tbl>
    <w:p w:rsidR="00000000" w:rsidRPr="00524475" w:rsidP="00524475">
      <w:pPr>
        <w:pStyle w:val="BodyText"/>
      </w:pPr>
    </w:p>
    <w:p w:rsidR="00000000" w:rsidRPr="00524475" w:rsidP="00524475">
      <w:pPr>
        <w:pStyle w:val="AllowPageBreak"/>
      </w:pPr>
    </w:p>
    <w:p w:rsidR="00000000" w:rsidRPr="00524475" w:rsidP="00524475">
      <w:pPr>
        <w:pStyle w:val="Heading1"/>
      </w:pPr>
      <w:bookmarkStart w:id="4" w:name="O_819208"/>
      <w:bookmarkEnd w:id="4"/>
      <w:r w:rsidRPr="00524475">
        <w:t>Foundation Skills</w:t>
      </w:r>
    </w:p>
    <w:p w:rsidR="00000000" w:rsidRPr="008072DD" w:rsidP="008072DD">
      <w:pPr>
        <w:pStyle w:val="BodyText"/>
        <w:rPr>
          <w:i/>
        </w:rPr>
      </w:pPr>
      <w:r w:rsidRPr="008072DD">
        <w:rPr>
          <w:rStyle w:val="Emphasis"/>
        </w:rPr>
        <w:t>The Foundation Skills describe those required skills (language, literacy, numeracy and employment skills) that are essential to performance.</w:t>
      </w:r>
    </w:p>
    <w:p w:rsidR="008072DD" w:rsidP="008072DD">
      <w:pPr>
        <w:pStyle w:val="BodyText"/>
      </w:pPr>
      <w:r w:rsidRPr="00524475">
        <w:t>Foundation skills essential to performance are explicit in the performance criteria of this unit of competency</w:t>
      </w:r>
    </w:p>
    <w:p w:rsidR="00000000" w:rsidRPr="00524475" w:rsidP="00524475">
      <w:pPr>
        <w:pStyle w:val="Heading1"/>
      </w:pPr>
      <w:bookmarkStart w:id="5" w:name="O_819210"/>
      <w:bookmarkEnd w:id="5"/>
      <w:r w:rsidRPr="00524475">
        <w:t>Unit Mapping Information</w:t>
      </w:r>
    </w:p>
    <w:p w:rsidR="00000000" w:rsidRPr="00524475" w:rsidP="008072DD">
      <w:pPr>
        <w:pStyle w:val="BodyText"/>
      </w:pPr>
      <w:r w:rsidRPr="00524475">
        <w:t xml:space="preserve">No Equivalent Unit </w:t>
      </w:r>
    </w:p>
    <w:p w:rsidR="00000000" w:rsidRPr="00524475" w:rsidP="00524475">
      <w:pPr>
        <w:pStyle w:val="Heading1"/>
      </w:pPr>
      <w:bookmarkStart w:id="6" w:name="O_819217"/>
      <w:bookmarkEnd w:id="6"/>
      <w:r w:rsidRPr="00524475">
        <w:t>Links</w:t>
      </w:r>
    </w:p>
    <w:p w:rsidR="00000000" w:rsidRPr="00524475" w:rsidP="008072DD">
      <w:pPr>
        <w:pStyle w:val="BodyText"/>
      </w:pPr>
      <w:r w:rsidRPr="00524475">
        <w:t xml:space="preserve">Companion Volume implementation guides are found in VETNet </w:t>
      </w:r>
      <w:r w:rsidRPr="00524475">
        <w:t xml:space="preserve">- </w:t>
      </w:r>
      <w:r>
        <w:fldChar w:fldCharType="begin"/>
      </w:r>
      <w:r>
        <w:instrText xml:space="preserve"> HYPERLINK "https://vetnet.gov.au/Pages/TrainingDocs.aspx?q=ced1390f-48d9-4ab0-bd50-b015e5485705" </w:instrText>
      </w:r>
      <w:r>
        <w:fldChar w:fldCharType="separate"/>
      </w:r>
      <w:r w:rsidRPr="00997285">
        <w:rPr>
          <w:rStyle w:val="Hyperlink"/>
        </w:rPr>
        <w:t>https://vetnet.gov.au/Pages/TrainingDocs.aspx?q=ced1390f-48d9-4ab0-bd50-b015e5485705</w:t>
      </w:r>
      <w:r>
        <w:fldChar w:fldCharType="end"/>
      </w:r>
    </w:p>
    <w:p w:rsidR="00000000" w:rsidRPr="00524475" w:rsidP="008072DD">
      <w:pPr>
        <w:pStyle w:val="BodyText"/>
        <w:sectPr w:rsidSect="00524475">
          <w:headerReference w:type="default" r:id="rId10"/>
          <w:footerReference w:type="default" r:id="rId11"/>
          <w:pgSz w:w="11908" w:h="16833"/>
          <w:pgMar w:top="1702" w:right="1418" w:bottom="1702" w:left="1418" w:header="992" w:footer="992" w:gutter="0"/>
          <w:cols w:space="720"/>
          <w:noEndnote/>
          <w:docGrid w:linePitch="299"/>
        </w:sectPr>
      </w:pPr>
    </w:p>
    <w:p w:rsidR="00000000" w:rsidRPr="00524475" w:rsidP="00524475">
      <w:pPr>
        <w:pStyle w:val="SuperHeading"/>
      </w:pPr>
      <w:r w:rsidRPr="00524475">
        <w:t>Assessment Requirements for HLTDEN010 Implement an oral hygiene program for older people</w:t>
      </w:r>
    </w:p>
    <w:p w:rsidR="00000000" w:rsidRPr="00524475" w:rsidP="00524475">
      <w:pPr>
        <w:pStyle w:val="Heading1"/>
      </w:pPr>
      <w:bookmarkStart w:id="7" w:name="O_819212"/>
      <w:bookmarkEnd w:id="7"/>
      <w:r w:rsidRPr="00524475">
        <w:t>Modification Hist</w:t>
      </w:r>
      <w:r w:rsidRPr="00524475">
        <w:t>ory</w:t>
      </w:r>
    </w:p>
    <w:tbl>
      <w:tblPr>
        <w:tblW w:w="0" w:type="auto"/>
        <w:tblCellMar>
          <w:left w:w="62" w:type="dxa"/>
          <w:right w:w="62" w:type="dxa"/>
        </w:tblCellMar>
        <w:tblLook w:val="0000"/>
      </w:tblPr>
      <w:tblGrid>
        <w:gridCol w:w="2147"/>
        <w:gridCol w:w="7049"/>
      </w:tblGrid>
      <w:tr w:rsidTr="008072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475">
            <w:pPr>
              <w:pStyle w:val="BodyText"/>
              <w:rPr>
                <w:lang w:val="en-NZ"/>
              </w:rPr>
            </w:pPr>
            <w:r w:rsidRPr="00524475">
              <w:t xml:space="preserve">Release </w:t>
            </w:r>
            <w:r w:rsidRPr="00524475">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475">
            <w:pPr>
              <w:pStyle w:val="BodyText"/>
              <w:rPr>
                <w:lang w:val="en-NZ"/>
              </w:rPr>
            </w:pPr>
            <w:r w:rsidRPr="00524475">
              <w:t xml:space="preserve">Comments </w:t>
            </w:r>
          </w:p>
        </w:tc>
      </w:tr>
      <w:tr w:rsidTr="008072D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4475">
            <w:pPr>
              <w:pStyle w:val="BodyText"/>
              <w:rPr>
                <w:lang w:val="en-NZ"/>
              </w:rPr>
            </w:pPr>
            <w:r w:rsidRPr="00524475">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4475" w:rsidP="00524475">
            <w:pPr>
              <w:pStyle w:val="BodyText"/>
            </w:pPr>
            <w:r w:rsidRPr="00524475">
              <w:t xml:space="preserve">This version was released in </w:t>
            </w:r>
            <w:r w:rsidRPr="00524475">
              <w:rPr>
                <w:rStyle w:val="Emphasis"/>
              </w:rPr>
              <w:t>HLT Health Training Package release 3.0</w:t>
            </w:r>
            <w:r w:rsidRPr="00524475">
              <w:t xml:space="preserve"> and meets the requirements of the 2012 Standards for Training Packages.</w:t>
            </w:r>
          </w:p>
          <w:p w:rsidR="00000000" w:rsidRPr="00524475" w:rsidP="00524475">
            <w:pPr>
              <w:pStyle w:val="BodyText"/>
            </w:pPr>
            <w:r w:rsidRPr="00524475">
              <w:t>Minimal changes to the elements and performance criteria. New evidence requirements for assessment including volume and frequency requirements. Removal of pre-requisites</w:t>
            </w:r>
          </w:p>
          <w:p w:rsidR="00000000" w:rsidRPr="00524475" w:rsidP="00524475">
            <w:pPr>
              <w:pStyle w:val="BodyText"/>
            </w:pPr>
            <w:r w:rsidRPr="00524475">
              <w:t>Supersedes HLTDA413B</w:t>
            </w:r>
          </w:p>
        </w:tc>
      </w:tr>
    </w:tbl>
    <w:p w:rsidR="00000000" w:rsidRPr="00524475" w:rsidP="00524475">
      <w:pPr>
        <w:pStyle w:val="BodyText"/>
      </w:pPr>
    </w:p>
    <w:p w:rsidR="00000000" w:rsidRPr="00524475" w:rsidP="00524475">
      <w:pPr>
        <w:pStyle w:val="AllowPageBreak"/>
      </w:pPr>
    </w:p>
    <w:p w:rsidR="00000000" w:rsidRPr="00524475" w:rsidP="00524475">
      <w:pPr>
        <w:pStyle w:val="Heading1"/>
      </w:pPr>
      <w:bookmarkStart w:id="8" w:name="O_819213"/>
      <w:bookmarkEnd w:id="8"/>
      <w:r w:rsidRPr="00524475">
        <w:t>Performance Evidence</w:t>
      </w:r>
    </w:p>
    <w:p w:rsidR="00000000" w:rsidRPr="00524475" w:rsidP="008072DD">
      <w:pPr>
        <w:pStyle w:val="BodyText"/>
      </w:pPr>
      <w:r w:rsidRPr="00524475">
        <w:t>The candidate must show e</w:t>
      </w:r>
      <w:r w:rsidRPr="00524475">
        <w:t xml:space="preserve">vidence of the ability to complete tasks outlined in elements and performance criteria of this unit, manage tasks and manage contingencies in the context of the job role. There must be evidence that the candidate has completed the following tasks: </w:t>
      </w:r>
    </w:p>
    <w:p w:rsidR="00000000" w:rsidRPr="00524475" w:rsidP="00524475">
      <w:pPr>
        <w:pStyle w:val="List"/>
      </w:pPr>
      <w:r w:rsidRPr="00524475">
        <w:t>•</w:t>
      </w:r>
      <w:r w:rsidRPr="00524475">
        <w:tab/>
        <w:t>provi</w:t>
      </w:r>
      <w:r w:rsidRPr="00524475">
        <w:t>ded complete and appropriate information to 3 different older people and/or their carers including:</w:t>
      </w:r>
    </w:p>
    <w:p w:rsidR="00000000" w:rsidRPr="00524475" w:rsidP="00524475">
      <w:pPr>
        <w:pStyle w:val="List2"/>
      </w:pPr>
      <w:r>
        <w:t>•</w:t>
      </w:r>
      <w:r>
        <w:tab/>
      </w:r>
      <w:r w:rsidRPr="00524475">
        <w:t>information regarding the prevention of oral diseases</w:t>
      </w:r>
    </w:p>
    <w:p w:rsidR="00000000" w:rsidRPr="00524475" w:rsidP="00524475">
      <w:pPr>
        <w:pStyle w:val="List2"/>
      </w:pPr>
      <w:r>
        <w:t>•</w:t>
      </w:r>
      <w:r>
        <w:tab/>
      </w:r>
      <w:r w:rsidRPr="00524475">
        <w:t>advice and demonstration of oral hygiene techniques</w:t>
      </w:r>
    </w:p>
    <w:p w:rsidR="00000000" w:rsidRPr="00524475" w:rsidP="00524475">
      <w:pPr>
        <w:pStyle w:val="List"/>
      </w:pPr>
      <w:r w:rsidRPr="00524475">
        <w:t>•</w:t>
      </w:r>
      <w:r w:rsidRPr="00524475">
        <w:tab/>
        <w:t xml:space="preserve">selected and prepared special aids for oral </w:t>
      </w:r>
      <w:r w:rsidRPr="00524475">
        <w:t>hygiene to assist 3 patients with limited dexterity</w:t>
      </w:r>
    </w:p>
    <w:p w:rsidR="008072DD" w:rsidP="00524475">
      <w:pPr>
        <w:pStyle w:val="List"/>
      </w:pPr>
      <w:r w:rsidRPr="00524475">
        <w:t>•</w:t>
      </w:r>
      <w:r w:rsidRPr="00524475">
        <w:tab/>
        <w:t>implemented 3 prevention programs to suit individual patient’s oral health care needs.</w:t>
      </w:r>
    </w:p>
    <w:p w:rsidR="008072DD" w:rsidP="00524475">
      <w:pPr>
        <w:pStyle w:val="List"/>
      </w:pPr>
    </w:p>
    <w:p w:rsidR="00000000" w:rsidRPr="00524475" w:rsidP="00524475">
      <w:pPr>
        <w:pStyle w:val="Heading1"/>
      </w:pPr>
      <w:bookmarkStart w:id="9" w:name="O_819214"/>
      <w:bookmarkEnd w:id="9"/>
      <w:r w:rsidRPr="00524475">
        <w:t>Knowledge Evidence</w:t>
      </w:r>
    </w:p>
    <w:p w:rsidR="00000000" w:rsidRPr="00524475" w:rsidP="008072DD">
      <w:pPr>
        <w:pStyle w:val="BodyText"/>
      </w:pPr>
      <w:r w:rsidRPr="00524475">
        <w:t>The candidate must be able to demonstrate essential knowledge required to effe</w:t>
      </w:r>
      <w:r w:rsidRPr="00524475">
        <w:t>ctively complete the tasks outlined in elements and performance criteria of this unit, manage the task and manage contingencies in the context of the work role. This includes knowledge of:</w:t>
      </w:r>
    </w:p>
    <w:p w:rsidR="00000000" w:rsidRPr="00524475" w:rsidP="00524475">
      <w:pPr>
        <w:pStyle w:val="List"/>
      </w:pPr>
      <w:r w:rsidRPr="00524475">
        <w:t>•</w:t>
      </w:r>
      <w:r w:rsidRPr="00524475">
        <w:tab/>
      </w:r>
      <w:r w:rsidRPr="00524475">
        <w:t>national and State/Territory legal and ethical requirements and considerations for dental assisting work including:</w:t>
      </w:r>
    </w:p>
    <w:p w:rsidR="00000000" w:rsidRPr="00524475" w:rsidP="00524475">
      <w:pPr>
        <w:pStyle w:val="List2"/>
      </w:pPr>
      <w:r w:rsidRPr="00524475">
        <w:t>­</w:t>
      </w:r>
      <w:r w:rsidRPr="00524475">
        <w:tab/>
        <w:t>codes of practice</w:t>
      </w:r>
    </w:p>
    <w:p w:rsidR="00000000" w:rsidRPr="00524475" w:rsidP="00524475">
      <w:pPr>
        <w:pStyle w:val="List2"/>
      </w:pPr>
      <w:r w:rsidRPr="00524475">
        <w:t>­</w:t>
      </w:r>
      <w:r w:rsidRPr="00524475">
        <w:tab/>
        <w:t>discrimination</w:t>
      </w:r>
    </w:p>
    <w:p w:rsidR="00000000" w:rsidRPr="00524475" w:rsidP="00524475">
      <w:pPr>
        <w:pStyle w:val="List2"/>
      </w:pPr>
      <w:r w:rsidRPr="00524475">
        <w:t>­</w:t>
      </w:r>
      <w:r w:rsidRPr="00524475">
        <w:tab/>
        <w:t>duty of care</w:t>
      </w:r>
    </w:p>
    <w:p w:rsidR="00000000" w:rsidRPr="00524475" w:rsidP="00524475">
      <w:pPr>
        <w:pStyle w:val="List2"/>
      </w:pPr>
      <w:r>
        <w:t>•</w:t>
      </w:r>
      <w:r>
        <w:tab/>
      </w:r>
      <w:r w:rsidRPr="00524475">
        <w:t>informed consent and statutory requirements of consent</w:t>
      </w:r>
    </w:p>
    <w:p w:rsidR="00000000" w:rsidRPr="00524475" w:rsidP="00524475">
      <w:pPr>
        <w:pStyle w:val="List2"/>
      </w:pPr>
      <w:r w:rsidRPr="00524475">
        <w:t>­</w:t>
      </w:r>
      <w:r w:rsidRPr="00524475">
        <w:tab/>
        <w:t>practice standards – Dental B</w:t>
      </w:r>
      <w:r w:rsidRPr="00524475">
        <w:t>oard of Australia guidelines on infection control</w:t>
      </w:r>
    </w:p>
    <w:p w:rsidR="00000000" w:rsidRPr="00524475" w:rsidP="00524475">
      <w:pPr>
        <w:pStyle w:val="List2"/>
      </w:pPr>
      <w:r w:rsidRPr="00524475">
        <w:t>­</w:t>
      </w:r>
      <w:r w:rsidRPr="00524475">
        <w:tab/>
        <w:t>privacy, confidentiality and disclosure</w:t>
      </w:r>
    </w:p>
    <w:p w:rsidR="00000000" w:rsidRPr="00524475" w:rsidP="00524475">
      <w:pPr>
        <w:pStyle w:val="List2"/>
      </w:pPr>
      <w:r w:rsidRPr="00524475">
        <w:t>­</w:t>
      </w:r>
      <w:r w:rsidRPr="00524475">
        <w:tab/>
        <w:t>records management</w:t>
      </w:r>
    </w:p>
    <w:p w:rsidR="00000000" w:rsidRPr="00524475" w:rsidP="00524475">
      <w:pPr>
        <w:pStyle w:val="List2"/>
      </w:pPr>
      <w:r w:rsidRPr="00524475">
        <w:t>­</w:t>
      </w:r>
      <w:r w:rsidRPr="00524475">
        <w:tab/>
        <w:t>work role boundaries – responsibilities and limitations</w:t>
      </w:r>
    </w:p>
    <w:p w:rsidR="00000000" w:rsidRPr="00524475" w:rsidP="00524475">
      <w:pPr>
        <w:pStyle w:val="List2"/>
      </w:pPr>
      <w:r w:rsidRPr="00524475">
        <w:t>­</w:t>
      </w:r>
      <w:r w:rsidRPr="00524475">
        <w:tab/>
        <w:t>work health and safety</w:t>
      </w:r>
    </w:p>
    <w:p w:rsidR="00000000" w:rsidRPr="00524475" w:rsidP="00524475">
      <w:pPr>
        <w:pStyle w:val="List"/>
      </w:pPr>
      <w:r w:rsidRPr="00524475">
        <w:t>•</w:t>
      </w:r>
      <w:r w:rsidRPr="00524475">
        <w:tab/>
        <w:t xml:space="preserve">fundamental oral anatomy including: </w:t>
      </w:r>
    </w:p>
    <w:p w:rsidR="00000000" w:rsidRPr="00524475" w:rsidP="00524475">
      <w:pPr>
        <w:pStyle w:val="List2"/>
      </w:pPr>
      <w:r>
        <w:t>•</w:t>
      </w:r>
      <w:r>
        <w:tab/>
      </w:r>
      <w:r w:rsidRPr="00524475">
        <w:t>structures of the o</w:t>
      </w:r>
      <w:r w:rsidRPr="00524475">
        <w:t>ral cavity, hard and soft palate, lateral and posterior borders of the oral cavity, tongue and floor of the mouth</w:t>
      </w:r>
    </w:p>
    <w:p w:rsidR="00000000" w:rsidRPr="00524475" w:rsidP="00524475">
      <w:pPr>
        <w:pStyle w:val="List2"/>
      </w:pPr>
      <w:r>
        <w:t>•</w:t>
      </w:r>
      <w:r>
        <w:tab/>
      </w:r>
      <w:r w:rsidRPr="00524475">
        <w:t>teeth form and function</w:t>
      </w:r>
    </w:p>
    <w:p w:rsidR="00000000" w:rsidRPr="00524475" w:rsidP="00524475">
      <w:pPr>
        <w:pStyle w:val="List2"/>
      </w:pPr>
      <w:r>
        <w:t>•</w:t>
      </w:r>
      <w:r>
        <w:tab/>
      </w:r>
      <w:r w:rsidRPr="00524475">
        <w:t xml:space="preserve">dentition, arrangement of the teeth, naming and coding of teeth </w:t>
      </w:r>
    </w:p>
    <w:p w:rsidR="00000000" w:rsidRPr="00524475" w:rsidP="00524475">
      <w:pPr>
        <w:pStyle w:val="List"/>
      </w:pPr>
      <w:r w:rsidRPr="00524475">
        <w:t>•</w:t>
      </w:r>
      <w:r w:rsidRPr="00524475">
        <w:tab/>
        <w:t>plaque and its differing roles in the developme</w:t>
      </w:r>
      <w:r w:rsidRPr="00524475">
        <w:t xml:space="preserve">nt of dental caries and periodontal disease </w:t>
      </w:r>
    </w:p>
    <w:p w:rsidR="00000000" w:rsidRPr="00524475" w:rsidP="00524475">
      <w:pPr>
        <w:pStyle w:val="List"/>
      </w:pPr>
      <w:r w:rsidRPr="00524475">
        <w:t>•</w:t>
      </w:r>
      <w:r w:rsidRPr="00524475">
        <w:tab/>
        <w:t>saliva and its role in the maintenance of oral health including:</w:t>
      </w:r>
    </w:p>
    <w:p w:rsidR="00000000" w:rsidRPr="00524475" w:rsidP="00524475">
      <w:pPr>
        <w:pStyle w:val="List2"/>
      </w:pPr>
      <w:r>
        <w:t>•</w:t>
      </w:r>
      <w:r>
        <w:tab/>
      </w:r>
      <w:r w:rsidRPr="00524475">
        <w:t>protecting teeth by neutralising acid</w:t>
      </w:r>
    </w:p>
    <w:p w:rsidR="00000000" w:rsidRPr="00524475" w:rsidP="00524475">
      <w:pPr>
        <w:pStyle w:val="List2"/>
      </w:pPr>
      <w:r>
        <w:t>•</w:t>
      </w:r>
      <w:r>
        <w:tab/>
      </w:r>
      <w:r w:rsidRPr="00524475">
        <w:t>acting as a lubricant</w:t>
      </w:r>
    </w:p>
    <w:p w:rsidR="00000000" w:rsidRPr="00524475" w:rsidP="00524475">
      <w:pPr>
        <w:pStyle w:val="List2"/>
      </w:pPr>
      <w:r>
        <w:t>•</w:t>
      </w:r>
      <w:r>
        <w:tab/>
      </w:r>
      <w:r w:rsidRPr="00524475">
        <w:t>delivering calcium, phosphate and fluoride to the tooth surface</w:t>
      </w:r>
    </w:p>
    <w:p w:rsidR="00000000" w:rsidRPr="00524475" w:rsidP="00524475">
      <w:pPr>
        <w:pStyle w:val="List"/>
      </w:pPr>
      <w:r w:rsidRPr="00524475">
        <w:t>•</w:t>
      </w:r>
      <w:r w:rsidRPr="00524475">
        <w:tab/>
        <w:t>factors that</w:t>
      </w:r>
      <w:r w:rsidRPr="00524475">
        <w:t xml:space="preserve"> lead to the development of dental caries including:</w:t>
      </w:r>
    </w:p>
    <w:p w:rsidR="00000000" w:rsidRPr="00524475" w:rsidP="00524475">
      <w:pPr>
        <w:pStyle w:val="List2"/>
      </w:pPr>
      <w:r>
        <w:t>•</w:t>
      </w:r>
      <w:r>
        <w:tab/>
      </w:r>
      <w:r w:rsidRPr="00524475">
        <w:t>bacteria in dental plaque</w:t>
      </w:r>
    </w:p>
    <w:p w:rsidR="00000000" w:rsidRPr="00524475" w:rsidP="00524475">
      <w:pPr>
        <w:pStyle w:val="List2"/>
      </w:pPr>
      <w:r>
        <w:t>•</w:t>
      </w:r>
      <w:r>
        <w:tab/>
      </w:r>
      <w:r w:rsidRPr="00524475">
        <w:t xml:space="preserve">diet </w:t>
      </w:r>
    </w:p>
    <w:p w:rsidR="00000000" w:rsidRPr="00524475" w:rsidP="00524475">
      <w:pPr>
        <w:pStyle w:val="List2"/>
      </w:pPr>
      <w:r>
        <w:t>•</w:t>
      </w:r>
      <w:r>
        <w:tab/>
      </w:r>
      <w:r w:rsidRPr="00524475">
        <w:t>susceptible tooth surfaces</w:t>
      </w:r>
    </w:p>
    <w:p w:rsidR="00000000" w:rsidRPr="00524475" w:rsidP="00524475">
      <w:pPr>
        <w:pStyle w:val="List2"/>
      </w:pPr>
      <w:r>
        <w:t>•</w:t>
      </w:r>
      <w:r>
        <w:tab/>
      </w:r>
      <w:r w:rsidRPr="00524475">
        <w:t>socioeconomic background including dietary intake</w:t>
      </w:r>
    </w:p>
    <w:p w:rsidR="00000000" w:rsidRPr="00524475" w:rsidP="00524475">
      <w:pPr>
        <w:pStyle w:val="List2"/>
      </w:pPr>
      <w:r>
        <w:t>•</w:t>
      </w:r>
      <w:r>
        <w:tab/>
      </w:r>
      <w:r w:rsidRPr="00524475">
        <w:t>mental health conditions and awareness of oral health issues</w:t>
      </w:r>
    </w:p>
    <w:p w:rsidR="00000000" w:rsidRPr="00524475" w:rsidP="00524475">
      <w:pPr>
        <w:pStyle w:val="List2"/>
      </w:pPr>
      <w:r>
        <w:t>•</w:t>
      </w:r>
      <w:r>
        <w:tab/>
      </w:r>
      <w:r w:rsidRPr="00524475">
        <w:t>age of teeth</w:t>
      </w:r>
    </w:p>
    <w:p w:rsidR="00000000" w:rsidRPr="00524475" w:rsidP="00524475">
      <w:pPr>
        <w:pStyle w:val="List"/>
      </w:pPr>
      <w:r w:rsidRPr="00524475">
        <w:t>•</w:t>
      </w:r>
      <w:r w:rsidRPr="00524475">
        <w:tab/>
      </w:r>
      <w:r w:rsidRPr="00524475">
        <w:t>factors that prevent and control dental caries:</w:t>
      </w:r>
    </w:p>
    <w:p w:rsidR="00000000" w:rsidRPr="00524475" w:rsidP="00524475">
      <w:pPr>
        <w:pStyle w:val="List2"/>
      </w:pPr>
      <w:r>
        <w:t>•</w:t>
      </w:r>
      <w:r>
        <w:tab/>
      </w:r>
      <w:r w:rsidRPr="00524475">
        <w:t>increasing salivary flow and optimising its composition</w:t>
      </w:r>
    </w:p>
    <w:p w:rsidR="00000000" w:rsidRPr="00524475" w:rsidP="00524475">
      <w:pPr>
        <w:pStyle w:val="List2"/>
      </w:pPr>
      <w:r>
        <w:t>•</w:t>
      </w:r>
      <w:r>
        <w:tab/>
      </w:r>
      <w:r w:rsidRPr="00524475">
        <w:t>fluorides</w:t>
      </w:r>
    </w:p>
    <w:p w:rsidR="00000000" w:rsidRPr="00524475" w:rsidP="00524475">
      <w:pPr>
        <w:pStyle w:val="List2"/>
      </w:pPr>
      <w:r>
        <w:t>•</w:t>
      </w:r>
      <w:r>
        <w:tab/>
      </w:r>
      <w:r w:rsidRPr="00524475">
        <w:t>plaque control and removal</w:t>
      </w:r>
    </w:p>
    <w:p w:rsidR="00000000" w:rsidRPr="00524475" w:rsidP="00524475">
      <w:pPr>
        <w:pStyle w:val="List2"/>
      </w:pPr>
      <w:r>
        <w:t>•</w:t>
      </w:r>
      <w:r>
        <w:tab/>
      </w:r>
      <w:r w:rsidRPr="00524475">
        <w:t>dietary change</w:t>
      </w:r>
    </w:p>
    <w:p w:rsidR="00000000" w:rsidRPr="00524475" w:rsidP="00524475">
      <w:pPr>
        <w:pStyle w:val="List2"/>
      </w:pPr>
      <w:r>
        <w:t>•</w:t>
      </w:r>
      <w:r>
        <w:tab/>
      </w:r>
      <w:r w:rsidRPr="00524475">
        <w:t>oral health education</w:t>
      </w:r>
    </w:p>
    <w:p w:rsidR="00000000" w:rsidRPr="00524475" w:rsidP="00524475">
      <w:pPr>
        <w:pStyle w:val="List"/>
      </w:pPr>
      <w:r w:rsidRPr="00524475">
        <w:t>•</w:t>
      </w:r>
      <w:r w:rsidRPr="00524475">
        <w:tab/>
        <w:t>factors that lead to the development of periodontal disease includ</w:t>
      </w:r>
      <w:r w:rsidRPr="00524475">
        <w:t>ing:</w:t>
      </w:r>
    </w:p>
    <w:p w:rsidR="00000000" w:rsidRPr="00524475" w:rsidP="00524475">
      <w:pPr>
        <w:pStyle w:val="List2"/>
      </w:pPr>
      <w:r>
        <w:t>•</w:t>
      </w:r>
      <w:r>
        <w:tab/>
      </w:r>
      <w:r w:rsidRPr="00524475">
        <w:t>bacteria in dental plaque</w:t>
      </w:r>
    </w:p>
    <w:p w:rsidR="00000000" w:rsidRPr="00524475" w:rsidP="00524475">
      <w:pPr>
        <w:pStyle w:val="List2"/>
      </w:pPr>
      <w:r>
        <w:t>•</w:t>
      </w:r>
      <w:r>
        <w:tab/>
      </w:r>
      <w:r w:rsidRPr="00524475">
        <w:t>accumulation of plaque and calculus</w:t>
      </w:r>
    </w:p>
    <w:p w:rsidR="00000000" w:rsidRPr="00524475" w:rsidP="00524475">
      <w:pPr>
        <w:pStyle w:val="List2"/>
      </w:pPr>
      <w:r>
        <w:t>•</w:t>
      </w:r>
      <w:r>
        <w:tab/>
      </w:r>
      <w:r w:rsidRPr="00524475">
        <w:t>smoking</w:t>
      </w:r>
    </w:p>
    <w:p w:rsidR="00000000" w:rsidRPr="00524475" w:rsidP="00524475">
      <w:pPr>
        <w:pStyle w:val="List2"/>
      </w:pPr>
      <w:r>
        <w:t>•</w:t>
      </w:r>
      <w:r>
        <w:tab/>
      </w:r>
      <w:r w:rsidRPr="00524475">
        <w:t>medications</w:t>
      </w:r>
    </w:p>
    <w:p w:rsidR="00000000" w:rsidRPr="00524475" w:rsidP="00524475">
      <w:pPr>
        <w:pStyle w:val="List2"/>
      </w:pPr>
      <w:r>
        <w:t>•</w:t>
      </w:r>
      <w:r>
        <w:tab/>
      </w:r>
      <w:r w:rsidRPr="00524475">
        <w:t>age of teeth</w:t>
      </w:r>
    </w:p>
    <w:p w:rsidR="00000000" w:rsidRPr="00524475" w:rsidP="00524475">
      <w:pPr>
        <w:pStyle w:val="List"/>
      </w:pPr>
      <w:r w:rsidRPr="00524475">
        <w:t>•</w:t>
      </w:r>
      <w:r w:rsidRPr="00524475">
        <w:tab/>
        <w:t>factors that prevent and control periodontal disease including:</w:t>
      </w:r>
    </w:p>
    <w:p w:rsidR="00000000" w:rsidRPr="00524475" w:rsidP="00524475">
      <w:pPr>
        <w:pStyle w:val="List2"/>
      </w:pPr>
      <w:r>
        <w:t>•</w:t>
      </w:r>
      <w:r>
        <w:tab/>
      </w:r>
      <w:r w:rsidRPr="00524475">
        <w:t>oral health education</w:t>
      </w:r>
    </w:p>
    <w:p w:rsidR="00000000" w:rsidRPr="00524475" w:rsidP="00524475">
      <w:pPr>
        <w:pStyle w:val="List2"/>
      </w:pPr>
      <w:r>
        <w:t>•</w:t>
      </w:r>
      <w:r>
        <w:tab/>
      </w:r>
      <w:r w:rsidRPr="00524475">
        <w:t>plaque control</w:t>
      </w:r>
    </w:p>
    <w:p w:rsidR="00000000" w:rsidRPr="00524475" w:rsidP="00524475">
      <w:pPr>
        <w:pStyle w:val="List"/>
      </w:pPr>
      <w:r w:rsidRPr="00524475">
        <w:t>•</w:t>
      </w:r>
      <w:r w:rsidRPr="00524475">
        <w:tab/>
        <w:t>causes and prevention of non-caries t</w:t>
      </w:r>
      <w:r w:rsidRPr="00524475">
        <w:t>ooth wear including:</w:t>
      </w:r>
    </w:p>
    <w:p w:rsidR="00000000" w:rsidRPr="00524475" w:rsidP="00524475">
      <w:pPr>
        <w:pStyle w:val="List2"/>
      </w:pPr>
      <w:r>
        <w:t>•</w:t>
      </w:r>
      <w:r>
        <w:tab/>
      </w:r>
      <w:r w:rsidRPr="00524475">
        <w:t>erosion</w:t>
      </w:r>
    </w:p>
    <w:p w:rsidR="00000000" w:rsidRPr="00524475" w:rsidP="00524475">
      <w:pPr>
        <w:pStyle w:val="List2"/>
      </w:pPr>
      <w:r>
        <w:t>•</w:t>
      </w:r>
      <w:r>
        <w:tab/>
      </w:r>
      <w:r w:rsidRPr="00524475">
        <w:t>abrasion</w:t>
      </w:r>
    </w:p>
    <w:p w:rsidR="00000000" w:rsidRPr="00524475" w:rsidP="00524475">
      <w:pPr>
        <w:pStyle w:val="List2"/>
      </w:pPr>
      <w:r>
        <w:t>•</w:t>
      </w:r>
      <w:r>
        <w:tab/>
      </w:r>
      <w:r w:rsidRPr="00524475">
        <w:t>attrition</w:t>
      </w:r>
    </w:p>
    <w:p w:rsidR="00000000" w:rsidRPr="00524475" w:rsidP="00524475">
      <w:pPr>
        <w:pStyle w:val="List"/>
      </w:pPr>
      <w:r w:rsidRPr="00524475">
        <w:t>•</w:t>
      </w:r>
      <w:r w:rsidRPr="00524475">
        <w:tab/>
        <w:t xml:space="preserve">the impact of smoking on oral soft tissues </w:t>
      </w:r>
    </w:p>
    <w:p w:rsidR="00000000" w:rsidRPr="00524475" w:rsidP="00524475">
      <w:pPr>
        <w:pStyle w:val="List"/>
      </w:pPr>
      <w:r w:rsidRPr="00524475">
        <w:t>•</w:t>
      </w:r>
      <w:r w:rsidRPr="00524475">
        <w:tab/>
        <w:t>systemic conditions and their pharmacology treatments that influence the development of oral disease</w:t>
      </w:r>
    </w:p>
    <w:p w:rsidR="00000000" w:rsidRPr="00524475" w:rsidP="00524475">
      <w:pPr>
        <w:pStyle w:val="List"/>
      </w:pPr>
      <w:r w:rsidRPr="00524475">
        <w:t>•</w:t>
      </w:r>
      <w:r w:rsidRPr="00524475">
        <w:tab/>
        <w:t>modification to standard toothbrushes and other aid</w:t>
      </w:r>
      <w:r w:rsidRPr="00524475">
        <w:t>s for oral hygiene to meet the needs of patients with reduced dexterity</w:t>
      </w:r>
    </w:p>
    <w:p w:rsidR="008072DD" w:rsidP="00524475">
      <w:pPr>
        <w:pStyle w:val="List"/>
      </w:pPr>
      <w:r w:rsidRPr="00524475">
        <w:t>•</w:t>
      </w:r>
      <w:r w:rsidRPr="00524475">
        <w:tab/>
        <w:t>modifications to oral health education programs related to special needs due to disability, older age and dementia.</w:t>
      </w:r>
    </w:p>
    <w:p w:rsidR="008072DD" w:rsidP="00524475">
      <w:pPr>
        <w:pStyle w:val="List"/>
      </w:pPr>
    </w:p>
    <w:p w:rsidR="00000000" w:rsidRPr="00524475" w:rsidP="00524475">
      <w:pPr>
        <w:pStyle w:val="Heading1"/>
      </w:pPr>
      <w:bookmarkStart w:id="10" w:name="O_819215"/>
      <w:bookmarkEnd w:id="10"/>
      <w:r w:rsidRPr="00524475">
        <w:t>Assessment Conditions</w:t>
      </w:r>
    </w:p>
    <w:p w:rsidR="00000000" w:rsidRPr="00524475" w:rsidP="008072DD">
      <w:pPr>
        <w:pStyle w:val="BodyText"/>
      </w:pPr>
      <w:r w:rsidRPr="00524475">
        <w:t xml:space="preserve">Skills must have been demonstrated in the dental clinic workplace with the addition of simulations and scenarios where the full range of contexts and situations cannot be provided in the workplace. The following conditions must be met for this unit: </w:t>
      </w:r>
    </w:p>
    <w:p w:rsidR="00000000" w:rsidRPr="00524475" w:rsidP="00524475">
      <w:pPr>
        <w:pStyle w:val="List"/>
      </w:pPr>
      <w:r w:rsidRPr="00524475">
        <w:t>•</w:t>
      </w:r>
      <w:r w:rsidRPr="00524475">
        <w:tab/>
        <w:t xml:space="preserve">us </w:t>
      </w:r>
      <w:r w:rsidRPr="00524475">
        <w:t>of suitable facilities, equipment and resources including:</w:t>
      </w:r>
    </w:p>
    <w:p w:rsidR="00000000" w:rsidRPr="00524475" w:rsidP="00524475">
      <w:pPr>
        <w:pStyle w:val="List2"/>
      </w:pPr>
      <w:r>
        <w:t>•</w:t>
      </w:r>
      <w:r>
        <w:tab/>
      </w:r>
      <w:r w:rsidRPr="00524475">
        <w:t>personal protective equipment</w:t>
      </w:r>
    </w:p>
    <w:p w:rsidR="00000000" w:rsidRPr="00524475" w:rsidP="00524475">
      <w:pPr>
        <w:pStyle w:val="List2"/>
      </w:pPr>
      <w:r>
        <w:t>•</w:t>
      </w:r>
      <w:r>
        <w:tab/>
      </w:r>
      <w:r w:rsidRPr="00524475">
        <w:t>cleaning equipment</w:t>
      </w:r>
    </w:p>
    <w:p w:rsidR="00000000" w:rsidRPr="00524475" w:rsidP="00524475">
      <w:pPr>
        <w:pStyle w:val="List2"/>
      </w:pPr>
      <w:r>
        <w:t>•</w:t>
      </w:r>
      <w:r>
        <w:tab/>
      </w:r>
      <w:r w:rsidRPr="00524475">
        <w:t>disposable and non-disposable instruments</w:t>
      </w:r>
    </w:p>
    <w:p w:rsidR="00000000" w:rsidRPr="00524475" w:rsidP="00524475">
      <w:pPr>
        <w:pStyle w:val="List2"/>
      </w:pPr>
      <w:r>
        <w:t>•</w:t>
      </w:r>
      <w:r>
        <w:tab/>
      </w:r>
      <w:r w:rsidRPr="00524475">
        <w:t>Dental Board of Australia guidelines on infection control on which the candidate bases the plannin</w:t>
      </w:r>
      <w:r w:rsidRPr="00524475">
        <w:t>g process</w:t>
      </w:r>
    </w:p>
    <w:p w:rsidR="00000000" w:rsidRPr="00524475" w:rsidP="00524475">
      <w:pPr>
        <w:pStyle w:val="List"/>
      </w:pPr>
      <w:r w:rsidRPr="00524475">
        <w:t>•</w:t>
      </w:r>
      <w:r w:rsidRPr="00524475">
        <w:tab/>
        <w:t>modelling of industry operating conditions including access to real people for simulations and scenarios in dental assisting work.</w:t>
      </w:r>
    </w:p>
    <w:p w:rsidR="00000000" w:rsidRPr="00524475" w:rsidP="00524475">
      <w:pPr>
        <w:pStyle w:val="BodyText"/>
      </w:pPr>
    </w:p>
    <w:p w:rsidR="00000000" w:rsidRPr="00524475" w:rsidP="008072DD">
      <w:pPr>
        <w:pStyle w:val="BodyText"/>
      </w:pPr>
      <w:r w:rsidRPr="00524475">
        <w:t xml:space="preserve">Assessors must satisfy the Standards for Registered Training Organisations (RTOs) 2015/AQTF mandatory </w:t>
      </w:r>
      <w:r w:rsidRPr="00524475">
        <w:t>competency</w:t>
      </w:r>
      <w:r w:rsidRPr="00524475">
        <w:t xml:space="preserve"> requirements for assessors.</w:t>
      </w:r>
    </w:p>
    <w:p w:rsidR="008072DD" w:rsidP="008072DD">
      <w:pPr>
        <w:pStyle w:val="BodyText"/>
      </w:pPr>
      <w:r w:rsidRPr="00524475">
        <w:t>In addition, assessors must hold a minimum of 5 years clinical experience in dental assisting work.</w:t>
      </w:r>
    </w:p>
    <w:p w:rsidR="00000000" w:rsidRPr="00524475" w:rsidP="00524475">
      <w:pPr>
        <w:pStyle w:val="Heading1"/>
      </w:pPr>
      <w:bookmarkStart w:id="11" w:name="O_819218"/>
      <w:bookmarkEnd w:id="11"/>
      <w:r w:rsidRPr="00524475">
        <w:t>Links</w:t>
      </w:r>
    </w:p>
    <w:p w:rsidR="00000000" w:rsidRPr="00524475" w:rsidP="008072DD">
      <w:pPr>
        <w:pStyle w:val="BodyText"/>
      </w:pPr>
      <w:r w:rsidRPr="0052447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97285">
        <w:rPr>
          <w:rStyle w:val="Hyperlink"/>
        </w:rPr>
        <w:t>https://vetnet.gov.au/Pages/TrainingDocs.aspx?q=ced1390f-48d9-4ab0-bd50-b015e5485705</w:t>
      </w:r>
      <w:r>
        <w:fldChar w:fldCharType="end"/>
      </w:r>
    </w:p>
    <w:p w:rsidR="00000000" w:rsidRPr="00524475" w:rsidP="00524475"/>
    <w:sectPr w:rsidSect="005244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75" w:rsidRPr="008072DD" w:rsidP="008072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DD" w:rsidP="00524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072DD" w:rsidP="005244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072DD" w:rsidP="005244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75" w:rsidP="00524475">
    <w:pPr>
      <w:pStyle w:val="Footer"/>
      <w:framePr w:wrap="around"/>
    </w:pPr>
    <w:r>
      <w:fldChar w:fldCharType="begin"/>
    </w:r>
    <w:r>
      <w:instrText xml:space="preserve"> DOCPROPERTY  Subject  \* MERGEFORMAT </w:instrText>
    </w:r>
    <w:r>
      <w:fldChar w:fldCharType="separate"/>
    </w:r>
    <w:r w:rsidR="008072DD">
      <w:t>Approved</w:t>
    </w:r>
    <w:r w:rsidR="008072DD">
      <w:fldChar w:fldCharType="end"/>
    </w:r>
    <w:r>
      <w:tab/>
      <w:t xml:space="preserve">Page </w:t>
    </w:r>
    <w:r>
      <w:fldChar w:fldCharType="begin"/>
    </w:r>
    <w:r>
      <w:instrText xml:space="preserve"> PAGE  \* Arabic  \* MERGEFORMAT </w:instrText>
    </w:r>
    <w:r>
      <w:fldChar w:fldCharType="separate"/>
    </w:r>
    <w:r w:rsidR="008072D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072DD">
      <w:rPr>
        <w:noProof/>
      </w:rPr>
      <w:t>5</w:t>
    </w:r>
    <w:r>
      <w:rPr>
        <w:noProof/>
      </w:rPr>
      <w:fldChar w:fldCharType="end"/>
    </w:r>
  </w:p>
  <w:p w:rsidR="00524475" w:rsidP="00524475">
    <w:pPr>
      <w:pStyle w:val="Footer"/>
      <w:framePr w:wrap="around"/>
    </w:pPr>
    <w:r>
      <w:t xml:space="preserve">© Commonwealth of Australia, </w:t>
    </w:r>
    <w:r>
      <w:fldChar w:fldCharType="begin"/>
    </w:r>
    <w:r>
      <w:instrText xml:space="preserve"> DATE  \@ "yyyy"  \* MERGEFORMAT </w:instrText>
    </w:r>
    <w:r>
      <w:fldChar w:fldCharType="separate"/>
    </w:r>
    <w:r w:rsidR="008072DD">
      <w:rPr>
        <w:noProof/>
      </w:rPr>
      <w:t>2025</w:t>
    </w:r>
    <w:r>
      <w:fldChar w:fldCharType="end"/>
    </w:r>
    <w:r>
      <w:tab/>
    </w:r>
    <w:r>
      <w:fldChar w:fldCharType="begin"/>
    </w:r>
    <w:r>
      <w:instrText xml:space="preserve"> DOCPROPERTY  Author  \* MERGEFORMAT </w:instrText>
    </w:r>
    <w:r>
      <w:fldChar w:fldCharType="separate"/>
    </w:r>
    <w:r w:rsidR="008072DD">
      <w:t>HumanAbility</w:t>
    </w:r>
    <w:r w:rsidR="008072DD">
      <w:fldChar w:fldCharType="end"/>
    </w:r>
  </w:p>
  <w:p w:rsidR="00524475" w:rsidP="005244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475" w:rsidRPr="008072DD" w:rsidP="008072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2DD" w:rsidRPr="002D2AF8" w:rsidP="00524475">
    <w:pPr>
      <w:pStyle w:val="Header"/>
      <w:framePr w:wrap="around"/>
    </w:pPr>
    <w:r>
      <w:fldChar w:fldCharType="begin"/>
    </w:r>
    <w:r>
      <w:instrText xml:space="preserve"> TITLE   \* MERGEFORMAT </w:instrText>
    </w:r>
    <w:r>
      <w:fldChar w:fldCharType="separate"/>
    </w:r>
    <w:r>
      <w:t>HLTDEN010 Implement an oral hygiene program for older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072DD" w:rsidP="005244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475" w:rsidRPr="002D2AF8" w:rsidP="00524475">
    <w:pPr>
      <w:pStyle w:val="Header"/>
      <w:framePr w:wrap="around"/>
    </w:pPr>
    <w:r>
      <w:fldChar w:fldCharType="begin"/>
    </w:r>
    <w:r>
      <w:instrText xml:space="preserve"> TITLE   \* MERGEFORMAT </w:instrText>
    </w:r>
    <w:r>
      <w:fldChar w:fldCharType="separate"/>
    </w:r>
    <w:r w:rsidR="008072DD">
      <w:t>HLTDEN010 Implement an oral hygiene program for older people</w:t>
    </w:r>
    <w:r w:rsidR="008072DD">
      <w:fldChar w:fldCharType="end"/>
    </w:r>
    <w:r>
      <w:tab/>
      <w:t xml:space="preserve">Date this document was generated: </w:t>
    </w:r>
    <w:r>
      <w:fldChar w:fldCharType="begin"/>
    </w:r>
    <w:r>
      <w:instrText xml:space="preserve"> CREATEDATE  \@ "d MMMM yyyy"  \* MERGEFORMAT </w:instrText>
    </w:r>
    <w:r>
      <w:fldChar w:fldCharType="separate"/>
    </w:r>
    <w:r w:rsidR="008072DD">
      <w:rPr>
        <w:noProof/>
      </w:rPr>
      <w:t>2 March 2025</w:t>
    </w:r>
    <w:r>
      <w:fldChar w:fldCharType="end"/>
    </w:r>
  </w:p>
  <w:p w:rsidR="00524475" w:rsidP="005244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4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475"/>
    <w:pPr>
      <w:spacing w:before="360" w:after="60"/>
      <w:outlineLvl w:val="0"/>
    </w:pPr>
    <w:rPr>
      <w:sz w:val="32"/>
    </w:rPr>
  </w:style>
  <w:style w:type="paragraph" w:styleId="Heading2">
    <w:name w:val="heading 2"/>
    <w:basedOn w:val="HeadingBase"/>
    <w:next w:val="BodyText"/>
    <w:link w:val="Heading2Char"/>
    <w:qFormat/>
    <w:rsid w:val="00524475"/>
    <w:pPr>
      <w:keepLines/>
      <w:spacing w:before="240" w:after="120"/>
      <w:outlineLvl w:val="1"/>
    </w:pPr>
    <w:rPr>
      <w:sz w:val="28"/>
      <w:szCs w:val="40"/>
    </w:rPr>
  </w:style>
  <w:style w:type="paragraph" w:styleId="Heading3">
    <w:name w:val="heading 3"/>
    <w:basedOn w:val="HeadingBase"/>
    <w:next w:val="BodyText"/>
    <w:link w:val="Heading3Char"/>
    <w:qFormat/>
    <w:rsid w:val="00524475"/>
    <w:pPr>
      <w:spacing w:before="180" w:after="120"/>
      <w:outlineLvl w:val="2"/>
    </w:pPr>
    <w:rPr>
      <w:spacing w:val="-10"/>
      <w:kern w:val="32"/>
    </w:rPr>
  </w:style>
  <w:style w:type="paragraph" w:styleId="Heading4">
    <w:name w:val="heading 4"/>
    <w:basedOn w:val="HeadingBase"/>
    <w:next w:val="BodyText"/>
    <w:link w:val="Heading4Char"/>
    <w:qFormat/>
    <w:rsid w:val="00524475"/>
    <w:pPr>
      <w:spacing w:before="160" w:after="120"/>
      <w:outlineLvl w:val="3"/>
    </w:pPr>
    <w:rPr>
      <w:sz w:val="22"/>
    </w:rPr>
  </w:style>
  <w:style w:type="paragraph" w:styleId="Heading5">
    <w:name w:val="heading 5"/>
    <w:basedOn w:val="HeadingBase"/>
    <w:next w:val="Normal"/>
    <w:link w:val="Heading5Char"/>
    <w:qFormat/>
    <w:rsid w:val="00524475"/>
    <w:pPr>
      <w:spacing w:before="80"/>
      <w:outlineLvl w:val="4"/>
    </w:pPr>
    <w:rPr>
      <w:color w:val="918585"/>
      <w:sz w:val="20"/>
    </w:rPr>
  </w:style>
  <w:style w:type="paragraph" w:styleId="Heading6">
    <w:name w:val="heading 6"/>
    <w:basedOn w:val="HeadingBase"/>
    <w:next w:val="Normal"/>
    <w:link w:val="Heading6Char"/>
    <w:qFormat/>
    <w:rsid w:val="00524475"/>
    <w:pPr>
      <w:spacing w:before="60"/>
      <w:outlineLvl w:val="5"/>
    </w:pPr>
    <w:rPr>
      <w:color w:val="918585"/>
      <w:sz w:val="20"/>
    </w:rPr>
  </w:style>
  <w:style w:type="paragraph" w:styleId="Heading7">
    <w:name w:val="heading 7"/>
    <w:basedOn w:val="Normal"/>
    <w:next w:val="Normal"/>
    <w:link w:val="Heading7Char"/>
    <w:qFormat/>
    <w:rsid w:val="00524475"/>
    <w:pPr>
      <w:ind w:left="720"/>
      <w:outlineLvl w:val="6"/>
    </w:pPr>
    <w:rPr>
      <w:i/>
    </w:rPr>
  </w:style>
  <w:style w:type="paragraph" w:styleId="Heading8">
    <w:name w:val="heading 8"/>
    <w:basedOn w:val="Normal"/>
    <w:next w:val="Normal"/>
    <w:link w:val="Heading8Char"/>
    <w:qFormat/>
    <w:rsid w:val="00524475"/>
    <w:pPr>
      <w:ind w:left="720"/>
      <w:outlineLvl w:val="7"/>
    </w:pPr>
    <w:rPr>
      <w:i/>
    </w:rPr>
  </w:style>
  <w:style w:type="paragraph" w:styleId="Heading9">
    <w:name w:val="heading 9"/>
    <w:basedOn w:val="Normal"/>
    <w:next w:val="Normal"/>
    <w:link w:val="Heading9Char"/>
    <w:qFormat/>
    <w:rsid w:val="00524475"/>
    <w:pPr>
      <w:ind w:left="720"/>
      <w:outlineLvl w:val="8"/>
    </w:pPr>
    <w:rPr>
      <w:i/>
    </w:rPr>
  </w:style>
  <w:style w:type="character" w:default="1" w:styleId="DefaultParagraphFont">
    <w:name w:val="Default Paragraph Font"/>
    <w:uiPriority w:val="1"/>
    <w:unhideWhenUsed/>
    <w:rsid w:val="00524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475"/>
  </w:style>
  <w:style w:type="character" w:customStyle="1" w:styleId="Heading1Char">
    <w:name w:val="Heading 1 Char"/>
    <w:basedOn w:val="DefaultParagraphFont"/>
    <w:link w:val="Heading1"/>
    <w:rsid w:val="00524475"/>
    <w:rPr>
      <w:rFonts w:ascii="Times New Roman" w:eastAsia="Times New Roman" w:hAnsi="Times New Roman" w:cs="Times New Roman"/>
      <w:b/>
      <w:sz w:val="32"/>
      <w:szCs w:val="20"/>
      <w:lang w:eastAsia="en-US"/>
    </w:rPr>
  </w:style>
  <w:style w:type="paragraph" w:styleId="BodyText">
    <w:name w:val="Body Text"/>
    <w:basedOn w:val="Normal"/>
    <w:link w:val="BodyTextChar"/>
    <w:rsid w:val="005244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475"/>
    <w:rPr>
      <w:rFonts w:ascii="Times New Roman" w:eastAsia="Times New Roman" w:hAnsi="Times New Roman" w:cs="Times New Roman"/>
      <w:sz w:val="24"/>
      <w:lang w:eastAsia="en-US"/>
    </w:rPr>
  </w:style>
  <w:style w:type="paragraph" w:styleId="List">
    <w:name w:val="List"/>
    <w:basedOn w:val="BodyText"/>
    <w:next w:val="BodyText"/>
    <w:rsid w:val="00524475"/>
    <w:pPr>
      <w:tabs>
        <w:tab w:val="left" w:pos="340"/>
      </w:tabs>
      <w:spacing w:before="60" w:after="60"/>
      <w:ind w:left="340" w:hanging="340"/>
    </w:pPr>
  </w:style>
  <w:style w:type="character" w:customStyle="1" w:styleId="SpecialBold">
    <w:name w:val="Special Bold"/>
    <w:basedOn w:val="DefaultParagraphFont"/>
    <w:rsid w:val="00524475"/>
    <w:rPr>
      <w:b/>
      <w:spacing w:val="0"/>
    </w:rPr>
  </w:style>
  <w:style w:type="character" w:styleId="Emphasis">
    <w:name w:val="Emphasis"/>
    <w:basedOn w:val="DefaultParagraphFont"/>
    <w:qFormat/>
    <w:rsid w:val="00524475"/>
    <w:rPr>
      <w:i/>
    </w:rPr>
  </w:style>
  <w:style w:type="paragraph" w:customStyle="1" w:styleId="SuperHeading">
    <w:name w:val="SuperHeading"/>
    <w:basedOn w:val="Normal"/>
    <w:rsid w:val="00524475"/>
    <w:pPr>
      <w:spacing w:before="240" w:after="120"/>
      <w:outlineLvl w:val="0"/>
    </w:pPr>
    <w:rPr>
      <w:rFonts w:ascii="Times New Roman" w:hAnsi="Times New Roman"/>
      <w:b/>
      <w:sz w:val="32"/>
    </w:rPr>
  </w:style>
  <w:style w:type="paragraph" w:customStyle="1" w:styleId="AllowPageBreak">
    <w:name w:val="AllowPageBreak"/>
    <w:rsid w:val="005244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24475"/>
    <w:pPr>
      <w:tabs>
        <w:tab w:val="left" w:pos="680"/>
      </w:tabs>
      <w:spacing w:before="60" w:after="60"/>
      <w:ind w:left="680" w:hanging="340"/>
    </w:pPr>
  </w:style>
  <w:style w:type="character" w:customStyle="1" w:styleId="Heading2Char">
    <w:name w:val="Heading 2 Char"/>
    <w:basedOn w:val="DefaultParagraphFont"/>
    <w:link w:val="Heading2"/>
    <w:rsid w:val="00524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4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4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475"/>
    <w:rPr>
      <w:rFonts w:ascii="Courier New" w:eastAsia="Times New Roman" w:hAnsi="Courier New" w:cs="Times New Roman"/>
      <w:i/>
      <w:szCs w:val="20"/>
      <w:lang w:eastAsia="en-US"/>
    </w:rPr>
  </w:style>
  <w:style w:type="paragraph" w:customStyle="1" w:styleId="HeadingBase">
    <w:name w:val="Heading Base"/>
    <w:rsid w:val="00524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475"/>
    <w:pPr>
      <w:tabs>
        <w:tab w:val="right" w:leader="dot" w:pos="9072"/>
      </w:tabs>
      <w:ind w:left="567"/>
    </w:pPr>
    <w:rPr>
      <w:szCs w:val="22"/>
    </w:rPr>
  </w:style>
  <w:style w:type="paragraph" w:customStyle="1" w:styleId="TOCBase">
    <w:name w:val="TOC Base"/>
    <w:rsid w:val="00524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475"/>
    <w:pPr>
      <w:tabs>
        <w:tab w:val="right" w:leader="dot" w:pos="9072"/>
      </w:tabs>
      <w:spacing w:before="40" w:after="40"/>
      <w:ind w:left="284"/>
    </w:pPr>
    <w:rPr>
      <w:rFonts w:ascii="Times New Roman" w:hAnsi="Times New Roman"/>
    </w:rPr>
  </w:style>
  <w:style w:type="paragraph" w:styleId="TOC1">
    <w:name w:val="toc 1"/>
    <w:basedOn w:val="TOCBase"/>
    <w:next w:val="Normal"/>
    <w:rsid w:val="005244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475"/>
    <w:rPr>
      <w:rFonts w:ascii="Times New Roman" w:eastAsia="Times New Roman" w:hAnsi="Times New Roman" w:cs="Times New Roman"/>
      <w:sz w:val="16"/>
      <w:lang w:eastAsia="en-US"/>
    </w:rPr>
  </w:style>
  <w:style w:type="paragraph" w:styleId="Title">
    <w:name w:val="Title"/>
    <w:basedOn w:val="HeadingBase"/>
    <w:link w:val="TitleChar"/>
    <w:qFormat/>
    <w:rsid w:val="00524475"/>
    <w:pPr>
      <w:spacing w:before="5040"/>
      <w:jc w:val="center"/>
    </w:pPr>
    <w:rPr>
      <w:sz w:val="48"/>
      <w:szCs w:val="72"/>
      <w:lang w:val="en-US"/>
    </w:rPr>
  </w:style>
  <w:style w:type="character" w:customStyle="1" w:styleId="TitleChar">
    <w:name w:val="Title Char"/>
    <w:basedOn w:val="DefaultParagraphFont"/>
    <w:link w:val="Title"/>
    <w:rsid w:val="00524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475"/>
    <w:pPr>
      <w:tabs>
        <w:tab w:val="left" w:pos="3600"/>
        <w:tab w:val="left" w:pos="3958"/>
      </w:tabs>
    </w:pPr>
  </w:style>
  <w:style w:type="paragraph" w:styleId="ListBullet">
    <w:name w:val="List Bullet"/>
    <w:basedOn w:val="List"/>
    <w:rsid w:val="00524475"/>
    <w:pPr>
      <w:numPr>
        <w:numId w:val="10"/>
      </w:numPr>
      <w:tabs>
        <w:tab w:val="clear" w:pos="340"/>
      </w:tabs>
      <w:spacing w:before="40" w:after="40"/>
    </w:pPr>
  </w:style>
  <w:style w:type="paragraph" w:customStyle="1" w:styleId="Note">
    <w:name w:val="Note"/>
    <w:basedOn w:val="BodyText"/>
    <w:rsid w:val="00524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475"/>
    <w:pPr>
      <w:framePr w:wrap="auto" w:hAnchor="text" w:y="6049"/>
    </w:pPr>
    <w:rPr>
      <w:color w:val="000000"/>
      <w:sz w:val="40"/>
    </w:rPr>
  </w:style>
  <w:style w:type="paragraph" w:customStyle="1" w:styleId="TOCTitle">
    <w:name w:val="TOCTitle"/>
    <w:basedOn w:val="Heading1"/>
    <w:rsid w:val="00524475"/>
    <w:pPr>
      <w:spacing w:after="240"/>
      <w:jc w:val="center"/>
      <w:outlineLvl w:val="9"/>
    </w:pPr>
    <w:rPr>
      <w:caps/>
    </w:rPr>
  </w:style>
  <w:style w:type="paragraph" w:customStyle="1" w:styleId="Version">
    <w:name w:val="Version"/>
    <w:rsid w:val="005244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475"/>
    <w:pPr>
      <w:numPr>
        <w:numId w:val="11"/>
      </w:numPr>
      <w:tabs>
        <w:tab w:val="clear" w:pos="680"/>
      </w:tabs>
    </w:pPr>
  </w:style>
  <w:style w:type="paragraph" w:styleId="Index1">
    <w:name w:val="index 1"/>
    <w:basedOn w:val="Normal"/>
    <w:next w:val="Normal"/>
    <w:semiHidden/>
    <w:rsid w:val="00524475"/>
    <w:pPr>
      <w:keepNext w:val="0"/>
      <w:tabs>
        <w:tab w:val="right" w:pos="4176"/>
      </w:tabs>
      <w:ind w:left="198" w:hanging="198"/>
    </w:pPr>
    <w:rPr>
      <w:rFonts w:ascii="Garamond" w:hAnsi="Garamond"/>
    </w:rPr>
  </w:style>
  <w:style w:type="paragraph" w:styleId="IndexHeading">
    <w:name w:val="index heading"/>
    <w:basedOn w:val="Normal"/>
    <w:next w:val="Index1"/>
    <w:semiHidden/>
    <w:rsid w:val="00524475"/>
    <w:pPr>
      <w:spacing w:before="120" w:after="120"/>
    </w:pPr>
    <w:rPr>
      <w:rFonts w:ascii="Arial" w:hAnsi="Arial"/>
      <w:b/>
      <w:color w:val="918585"/>
      <w:sz w:val="24"/>
    </w:rPr>
  </w:style>
  <w:style w:type="paragraph" w:styleId="Header">
    <w:name w:val="header"/>
    <w:basedOn w:val="Normal"/>
    <w:link w:val="HeaderChar"/>
    <w:rsid w:val="00524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475"/>
    <w:rPr>
      <w:rFonts w:ascii="Times New Roman" w:eastAsia="Times New Roman" w:hAnsi="Times New Roman" w:cs="Times New Roman"/>
      <w:sz w:val="16"/>
      <w:szCs w:val="20"/>
      <w:lang w:val="en-GB" w:eastAsia="en-US"/>
    </w:rPr>
  </w:style>
  <w:style w:type="paragraph" w:customStyle="1" w:styleId="Chapter">
    <w:name w:val="Chapter"/>
    <w:basedOn w:val="Normal"/>
    <w:rsid w:val="00524475"/>
    <w:pPr>
      <w:spacing w:before="240"/>
    </w:pPr>
    <w:rPr>
      <w:rFonts w:ascii="Times New Roman" w:hAnsi="Times New Roman"/>
      <w:smallCaps/>
      <w:spacing w:val="80"/>
      <w:sz w:val="28"/>
    </w:rPr>
  </w:style>
  <w:style w:type="paragraph" w:customStyle="1" w:styleId="InChapter">
    <w:name w:val="InChapter"/>
    <w:basedOn w:val="Heading3"/>
    <w:rsid w:val="00524475"/>
    <w:pPr>
      <w:spacing w:after="240"/>
      <w:outlineLvl w:val="9"/>
    </w:pPr>
    <w:rPr>
      <w:noProof/>
    </w:rPr>
  </w:style>
  <w:style w:type="paragraph" w:styleId="Index2">
    <w:name w:val="index 2"/>
    <w:basedOn w:val="Normal"/>
    <w:next w:val="Normal"/>
    <w:semiHidden/>
    <w:rsid w:val="00524475"/>
    <w:pPr>
      <w:tabs>
        <w:tab w:val="right" w:pos="4176"/>
      </w:tabs>
      <w:ind w:left="568" w:hanging="284"/>
    </w:pPr>
    <w:rPr>
      <w:rFonts w:ascii="Garamond" w:hAnsi="Garamond"/>
    </w:rPr>
  </w:style>
  <w:style w:type="paragraph" w:customStyle="1" w:styleId="Byline">
    <w:name w:val="Byline"/>
    <w:rsid w:val="00524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475"/>
    <w:pPr>
      <w:tabs>
        <w:tab w:val="clear" w:pos="3600"/>
        <w:tab w:val="clear" w:pos="3958"/>
      </w:tabs>
      <w:jc w:val="right"/>
    </w:pPr>
  </w:style>
  <w:style w:type="paragraph" w:styleId="Caption">
    <w:name w:val="caption"/>
    <w:basedOn w:val="BodyText"/>
    <w:next w:val="Normal"/>
    <w:qFormat/>
    <w:rsid w:val="00524475"/>
    <w:pPr>
      <w:framePr w:w="2268" w:hSpace="181" w:vSpace="181" w:wrap="around" w:vAnchor="text" w:hAnchor="page" w:x="1135" w:y="285" w:anchorLock="1"/>
    </w:pPr>
    <w:rPr>
      <w:i/>
    </w:rPr>
  </w:style>
  <w:style w:type="paragraph" w:customStyle="1" w:styleId="MiniTOCTitle">
    <w:name w:val="MiniTOCTitle"/>
    <w:basedOn w:val="Heading4"/>
    <w:rsid w:val="00524475"/>
    <w:pPr>
      <w:spacing w:before="240"/>
      <w:outlineLvl w:val="9"/>
    </w:pPr>
    <w:rPr>
      <w:noProof/>
      <w:sz w:val="24"/>
    </w:rPr>
  </w:style>
  <w:style w:type="paragraph" w:customStyle="1" w:styleId="MiniTOCItem">
    <w:name w:val="MiniTOCItem"/>
    <w:basedOn w:val="ListBullet"/>
    <w:rsid w:val="00524475"/>
    <w:pPr>
      <w:numPr>
        <w:numId w:val="0"/>
      </w:numPr>
      <w:tabs>
        <w:tab w:val="right" w:leader="dot" w:pos="6521"/>
      </w:tabs>
      <w:spacing w:before="0" w:after="0"/>
    </w:pPr>
  </w:style>
  <w:style w:type="paragraph" w:customStyle="1" w:styleId="TOFTitle">
    <w:name w:val="TOFTitle"/>
    <w:basedOn w:val="TOCTitle"/>
    <w:rsid w:val="00524475"/>
  </w:style>
  <w:style w:type="paragraph" w:styleId="TableofFigures">
    <w:name w:val="table of figures"/>
    <w:basedOn w:val="Normal"/>
    <w:next w:val="Normal"/>
    <w:semiHidden/>
    <w:rsid w:val="00524475"/>
    <w:pPr>
      <w:tabs>
        <w:tab w:val="right" w:leader="dot" w:pos="9072"/>
      </w:tabs>
      <w:ind w:left="970" w:hanging="403"/>
    </w:pPr>
    <w:rPr>
      <w:rFonts w:ascii="Times New Roman" w:hAnsi="Times New Roman"/>
      <w:b/>
    </w:rPr>
  </w:style>
  <w:style w:type="paragraph" w:styleId="ListNumber">
    <w:name w:val="List Number"/>
    <w:basedOn w:val="List"/>
    <w:rsid w:val="00524475"/>
    <w:pPr>
      <w:numPr>
        <w:numId w:val="13"/>
      </w:numPr>
      <w:tabs>
        <w:tab w:val="clear" w:pos="340"/>
      </w:tabs>
    </w:pPr>
  </w:style>
  <w:style w:type="character" w:customStyle="1" w:styleId="WingdingSymbols">
    <w:name w:val="Wingding Symbols"/>
    <w:rsid w:val="00524475"/>
    <w:rPr>
      <w:rFonts w:ascii="Wingdings" w:hAnsi="Wingdings"/>
    </w:rPr>
  </w:style>
  <w:style w:type="paragraph" w:customStyle="1" w:styleId="TableHeading">
    <w:name w:val="Table Heading"/>
    <w:basedOn w:val="HeadingBase"/>
    <w:rsid w:val="00524475"/>
    <w:pPr>
      <w:keepLines/>
      <w:pBdr>
        <w:bottom w:val="single" w:sz="6" w:space="1" w:color="918585"/>
      </w:pBdr>
      <w:spacing w:before="240"/>
    </w:pPr>
  </w:style>
  <w:style w:type="character" w:customStyle="1" w:styleId="HotSpot">
    <w:name w:val="HotSpot"/>
    <w:rsid w:val="00524475"/>
    <w:rPr>
      <w:color w:val="0033CC"/>
      <w:u w:val="none"/>
    </w:rPr>
  </w:style>
  <w:style w:type="paragraph" w:customStyle="1" w:styleId="BodyTextRight">
    <w:name w:val="Body Text Right"/>
    <w:basedOn w:val="BodyText"/>
    <w:rsid w:val="00524475"/>
    <w:pPr>
      <w:spacing w:before="0" w:after="0"/>
      <w:jc w:val="right"/>
    </w:pPr>
  </w:style>
  <w:style w:type="paragraph" w:styleId="Index3">
    <w:name w:val="index 3"/>
    <w:basedOn w:val="ListNumber2"/>
    <w:next w:val="Normal"/>
    <w:semiHidden/>
    <w:rsid w:val="00524475"/>
    <w:pPr>
      <w:numPr>
        <w:numId w:val="0"/>
      </w:numPr>
      <w:tabs>
        <w:tab w:val="right" w:leader="dot" w:pos="4176"/>
      </w:tabs>
    </w:pPr>
  </w:style>
  <w:style w:type="paragraph" w:styleId="ListNumber2">
    <w:name w:val="List Number 2"/>
    <w:basedOn w:val="List2"/>
    <w:rsid w:val="00524475"/>
    <w:pPr>
      <w:numPr>
        <w:numId w:val="8"/>
      </w:numPr>
      <w:tabs>
        <w:tab w:val="clear" w:pos="1060"/>
      </w:tabs>
    </w:pPr>
  </w:style>
  <w:style w:type="paragraph" w:customStyle="1" w:styleId="MarginNote">
    <w:name w:val="Margin Note"/>
    <w:basedOn w:val="BodyText"/>
    <w:rsid w:val="00524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4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475"/>
    <w:rPr>
      <w:sz w:val="32"/>
    </w:rPr>
  </w:style>
  <w:style w:type="paragraph" w:customStyle="1" w:styleId="HeadingProcedure">
    <w:name w:val="Heading Procedure"/>
    <w:basedOn w:val="HeadingBase"/>
    <w:next w:val="Normal"/>
    <w:rsid w:val="00524475"/>
    <w:pPr>
      <w:tabs>
        <w:tab w:val="left" w:pos="0"/>
      </w:tabs>
      <w:spacing w:before="120" w:after="60"/>
    </w:pPr>
    <w:rPr>
      <w:i/>
      <w:color w:val="918585"/>
      <w:sz w:val="22"/>
    </w:rPr>
  </w:style>
  <w:style w:type="paragraph" w:customStyle="1" w:styleId="TableBodyText">
    <w:name w:val="Table Body Text"/>
    <w:basedOn w:val="BodyText"/>
    <w:rsid w:val="00524475"/>
    <w:pPr>
      <w:spacing w:before="60" w:after="60"/>
    </w:pPr>
  </w:style>
  <w:style w:type="paragraph" w:styleId="ListContinue">
    <w:name w:val="List Continue"/>
    <w:basedOn w:val="List"/>
    <w:rsid w:val="00524475"/>
    <w:pPr>
      <w:ind w:firstLine="0"/>
    </w:pPr>
  </w:style>
  <w:style w:type="paragraph" w:customStyle="1" w:styleId="ListNote">
    <w:name w:val="List Note"/>
    <w:basedOn w:val="List"/>
    <w:rsid w:val="00524475"/>
    <w:pPr>
      <w:pBdr>
        <w:top w:val="single" w:sz="6" w:space="2" w:color="918585"/>
        <w:bottom w:val="single" w:sz="6" w:space="2" w:color="918585"/>
      </w:pBdr>
      <w:tabs>
        <w:tab w:val="left" w:pos="1021"/>
      </w:tabs>
      <w:ind w:firstLine="0"/>
    </w:pPr>
  </w:style>
  <w:style w:type="paragraph" w:customStyle="1" w:styleId="Warning">
    <w:name w:val="Warning"/>
    <w:basedOn w:val="BodyText"/>
    <w:rsid w:val="00524475"/>
    <w:pPr>
      <w:shd w:val="clear" w:color="auto" w:fill="D9D9D9"/>
      <w:tabs>
        <w:tab w:val="left" w:pos="992"/>
      </w:tabs>
      <w:ind w:left="119" w:right="119"/>
    </w:pPr>
    <w:rPr>
      <w:sz w:val="20"/>
    </w:rPr>
  </w:style>
  <w:style w:type="paragraph" w:customStyle="1" w:styleId="MarginIcons">
    <w:name w:val="Margin Icons"/>
    <w:basedOn w:val="BodyText"/>
    <w:rsid w:val="00524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475"/>
    <w:rPr>
      <w:rFonts w:ascii="Courier New" w:hAnsi="Courier New"/>
    </w:rPr>
  </w:style>
  <w:style w:type="paragraph" w:customStyle="1" w:styleId="NoteBullet">
    <w:name w:val="Note Bullet"/>
    <w:basedOn w:val="Note"/>
    <w:rsid w:val="00524475"/>
    <w:pPr>
      <w:tabs>
        <w:tab w:val="clear" w:pos="680"/>
      </w:tabs>
      <w:spacing w:before="60" w:after="60"/>
    </w:pPr>
  </w:style>
  <w:style w:type="paragraph" w:customStyle="1" w:styleId="SubHeading2">
    <w:name w:val="SubHeading2"/>
    <w:basedOn w:val="HeadingBase"/>
    <w:rsid w:val="00524475"/>
    <w:pPr>
      <w:spacing w:before="240" w:after="60"/>
    </w:pPr>
    <w:rPr>
      <w:sz w:val="20"/>
    </w:rPr>
  </w:style>
  <w:style w:type="paragraph" w:customStyle="1" w:styleId="SubHeading1">
    <w:name w:val="SubHeading1"/>
    <w:basedOn w:val="HeadingBase"/>
    <w:rsid w:val="00524475"/>
    <w:pPr>
      <w:spacing w:before="240" w:after="60"/>
    </w:pPr>
    <w:rPr>
      <w:color w:val="918585"/>
      <w:sz w:val="22"/>
    </w:rPr>
  </w:style>
  <w:style w:type="paragraph" w:customStyle="1" w:styleId="SideHeading">
    <w:name w:val="Side Heading"/>
    <w:basedOn w:val="HeadingBase"/>
    <w:rsid w:val="00524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475"/>
    <w:pPr>
      <w:numPr>
        <w:numId w:val="9"/>
      </w:numPr>
    </w:pPr>
  </w:style>
  <w:style w:type="paragraph" w:styleId="PlainText">
    <w:name w:val="Plain Text"/>
    <w:basedOn w:val="Normal"/>
    <w:link w:val="PlainTextChar"/>
    <w:rsid w:val="00524475"/>
    <w:rPr>
      <w:sz w:val="20"/>
    </w:rPr>
  </w:style>
  <w:style w:type="character" w:customStyle="1" w:styleId="PlainTextChar">
    <w:name w:val="Plain Text Char"/>
    <w:basedOn w:val="DefaultParagraphFont"/>
    <w:link w:val="PlainText"/>
    <w:rsid w:val="00524475"/>
    <w:rPr>
      <w:rFonts w:ascii="Courier New" w:eastAsia="Times New Roman" w:hAnsi="Courier New" w:cs="Times New Roman"/>
      <w:sz w:val="20"/>
      <w:szCs w:val="20"/>
      <w:lang w:eastAsia="en-US"/>
    </w:rPr>
  </w:style>
  <w:style w:type="character" w:customStyle="1" w:styleId="MenuOption">
    <w:name w:val="Menu Option"/>
    <w:basedOn w:val="DefaultParagraphFont"/>
    <w:rsid w:val="00524475"/>
    <w:rPr>
      <w:b/>
      <w:smallCaps/>
    </w:rPr>
  </w:style>
  <w:style w:type="paragraph" w:customStyle="1" w:styleId="TableListNumber">
    <w:name w:val="Table List Number"/>
    <w:basedOn w:val="ListNumber"/>
    <w:rsid w:val="00524475"/>
    <w:pPr>
      <w:numPr>
        <w:numId w:val="0"/>
      </w:numPr>
    </w:pPr>
  </w:style>
  <w:style w:type="paragraph" w:styleId="TOC4">
    <w:name w:val="toc 4"/>
    <w:basedOn w:val="TOCBase"/>
    <w:next w:val="Normal"/>
    <w:semiHidden/>
    <w:rsid w:val="00524475"/>
    <w:pPr>
      <w:tabs>
        <w:tab w:val="right" w:leader="dot" w:pos="9071"/>
      </w:tabs>
      <w:ind w:left="1701"/>
    </w:pPr>
  </w:style>
  <w:style w:type="paragraph" w:customStyle="1" w:styleId="ListAlpha">
    <w:name w:val="List Alpha"/>
    <w:basedOn w:val="List"/>
    <w:rsid w:val="00524475"/>
    <w:pPr>
      <w:numPr>
        <w:numId w:val="7"/>
      </w:numPr>
    </w:pPr>
  </w:style>
  <w:style w:type="paragraph" w:customStyle="1" w:styleId="ListAlpha2">
    <w:name w:val="List Alpha 2"/>
    <w:basedOn w:val="List2"/>
    <w:rsid w:val="00524475"/>
    <w:pPr>
      <w:numPr>
        <w:numId w:val="6"/>
      </w:numPr>
    </w:pPr>
  </w:style>
  <w:style w:type="paragraph" w:styleId="List3">
    <w:name w:val="List 3"/>
    <w:basedOn w:val="BodyText"/>
    <w:rsid w:val="00524475"/>
    <w:pPr>
      <w:tabs>
        <w:tab w:val="left" w:pos="1021"/>
      </w:tabs>
      <w:spacing w:before="60" w:after="60"/>
      <w:ind w:left="1020" w:hanging="340"/>
    </w:pPr>
  </w:style>
  <w:style w:type="paragraph" w:styleId="List4">
    <w:name w:val="List 4"/>
    <w:basedOn w:val="BodyText"/>
    <w:rsid w:val="00524475"/>
    <w:pPr>
      <w:tabs>
        <w:tab w:val="left" w:pos="1361"/>
      </w:tabs>
      <w:spacing w:before="60" w:after="60"/>
      <w:ind w:left="1361" w:hanging="340"/>
    </w:pPr>
  </w:style>
  <w:style w:type="paragraph" w:styleId="List5">
    <w:name w:val="List 5"/>
    <w:basedOn w:val="BodyText"/>
    <w:rsid w:val="00524475"/>
    <w:pPr>
      <w:tabs>
        <w:tab w:val="left" w:pos="1701"/>
      </w:tabs>
      <w:spacing w:before="60" w:after="60"/>
      <w:ind w:left="1701" w:hanging="340"/>
    </w:pPr>
  </w:style>
  <w:style w:type="paragraph" w:styleId="ListBullet3">
    <w:name w:val="List Bullet 3"/>
    <w:basedOn w:val="List3"/>
    <w:rsid w:val="00524475"/>
    <w:pPr>
      <w:numPr>
        <w:numId w:val="12"/>
      </w:numPr>
      <w:tabs>
        <w:tab w:val="clear" w:pos="1021"/>
      </w:tabs>
      <w:ind w:left="1037" w:hanging="357"/>
    </w:pPr>
  </w:style>
  <w:style w:type="paragraph" w:styleId="ListBullet4">
    <w:name w:val="List Bullet 4"/>
    <w:basedOn w:val="List4"/>
    <w:rsid w:val="00524475"/>
    <w:pPr>
      <w:numPr>
        <w:numId w:val="1"/>
      </w:numPr>
      <w:tabs>
        <w:tab w:val="clear" w:pos="1361"/>
      </w:tabs>
    </w:pPr>
  </w:style>
  <w:style w:type="paragraph" w:styleId="ListBullet5">
    <w:name w:val="List Bullet 5"/>
    <w:basedOn w:val="List5"/>
    <w:rsid w:val="00524475"/>
    <w:pPr>
      <w:numPr>
        <w:numId w:val="2"/>
      </w:numPr>
    </w:pPr>
  </w:style>
  <w:style w:type="paragraph" w:styleId="ListContinue2">
    <w:name w:val="List Continue 2"/>
    <w:basedOn w:val="List2"/>
    <w:rsid w:val="00524475"/>
    <w:pPr>
      <w:ind w:firstLine="0"/>
    </w:pPr>
  </w:style>
  <w:style w:type="paragraph" w:styleId="ListContinue3">
    <w:name w:val="List Continue 3"/>
    <w:basedOn w:val="List3"/>
    <w:rsid w:val="00524475"/>
    <w:pPr>
      <w:ind w:left="1021" w:firstLine="0"/>
    </w:pPr>
  </w:style>
  <w:style w:type="paragraph" w:styleId="ListContinue4">
    <w:name w:val="List Continue 4"/>
    <w:basedOn w:val="List4"/>
    <w:rsid w:val="00524475"/>
    <w:pPr>
      <w:ind w:firstLine="0"/>
    </w:pPr>
  </w:style>
  <w:style w:type="paragraph" w:styleId="ListContinue5">
    <w:name w:val="List Continue 5"/>
    <w:basedOn w:val="List5"/>
    <w:rsid w:val="00524475"/>
    <w:pPr>
      <w:ind w:firstLine="0"/>
    </w:pPr>
  </w:style>
  <w:style w:type="paragraph" w:styleId="ListNumber3">
    <w:name w:val="List Number 3"/>
    <w:basedOn w:val="List3"/>
    <w:rsid w:val="00524475"/>
    <w:pPr>
      <w:numPr>
        <w:numId w:val="3"/>
      </w:numPr>
    </w:pPr>
  </w:style>
  <w:style w:type="paragraph" w:styleId="ListNumber4">
    <w:name w:val="List Number 4"/>
    <w:basedOn w:val="List4"/>
    <w:rsid w:val="00524475"/>
    <w:pPr>
      <w:numPr>
        <w:numId w:val="4"/>
      </w:numPr>
    </w:pPr>
  </w:style>
  <w:style w:type="paragraph" w:styleId="ListNumber5">
    <w:name w:val="List Number 5"/>
    <w:basedOn w:val="List5"/>
    <w:rsid w:val="00524475"/>
    <w:pPr>
      <w:numPr>
        <w:numId w:val="5"/>
      </w:numPr>
    </w:pPr>
  </w:style>
  <w:style w:type="paragraph" w:styleId="BlockText">
    <w:name w:val="Block Text"/>
    <w:basedOn w:val="Normal"/>
    <w:rsid w:val="00524475"/>
    <w:pPr>
      <w:spacing w:after="120"/>
      <w:ind w:left="1440" w:right="1440"/>
    </w:pPr>
  </w:style>
  <w:style w:type="character" w:customStyle="1" w:styleId="Subscript">
    <w:name w:val="Subscript"/>
    <w:basedOn w:val="DefaultParagraphFont"/>
    <w:rsid w:val="00524475"/>
    <w:rPr>
      <w:sz w:val="16"/>
      <w:vertAlign w:val="subscript"/>
    </w:rPr>
  </w:style>
  <w:style w:type="character" w:customStyle="1" w:styleId="Superscript">
    <w:name w:val="Superscript"/>
    <w:basedOn w:val="DefaultParagraphFont"/>
    <w:rsid w:val="00524475"/>
    <w:rPr>
      <w:sz w:val="16"/>
      <w:vertAlign w:val="superscript"/>
    </w:rPr>
  </w:style>
  <w:style w:type="character" w:customStyle="1" w:styleId="Symbols">
    <w:name w:val="Symbols"/>
    <w:basedOn w:val="DefaultParagraphFont"/>
    <w:rsid w:val="00524475"/>
    <w:rPr>
      <w:rFonts w:ascii="Symbol" w:hAnsi="Symbol"/>
    </w:rPr>
  </w:style>
  <w:style w:type="character" w:customStyle="1" w:styleId="MenuOptions">
    <w:name w:val="Menu Options"/>
    <w:basedOn w:val="DefaultParagraphFont"/>
    <w:rsid w:val="00524475"/>
    <w:rPr>
      <w:rFonts w:ascii="Arial Narrow" w:hAnsi="Arial Narrow"/>
      <w:smallCaps/>
    </w:rPr>
  </w:style>
  <w:style w:type="character" w:customStyle="1" w:styleId="Buttons">
    <w:name w:val="Buttons"/>
    <w:basedOn w:val="DefaultParagraphFont"/>
    <w:rsid w:val="00524475"/>
    <w:rPr>
      <w:b/>
    </w:rPr>
  </w:style>
  <w:style w:type="character" w:customStyle="1" w:styleId="Underlined">
    <w:name w:val="Underlined"/>
    <w:basedOn w:val="DefaultParagraphFont"/>
    <w:rsid w:val="00524475"/>
    <w:rPr>
      <w:u w:val="single"/>
    </w:rPr>
  </w:style>
  <w:style w:type="paragraph" w:customStyle="1" w:styleId="TableBodyTextRight">
    <w:name w:val="Table Body Text Right"/>
    <w:basedOn w:val="TableBodyText"/>
    <w:rsid w:val="00524475"/>
    <w:pPr>
      <w:widowControl w:val="0"/>
      <w:autoSpaceDE w:val="0"/>
      <w:autoSpaceDN w:val="0"/>
      <w:adjustRightInd w:val="0"/>
      <w:jc w:val="right"/>
    </w:pPr>
    <w:rPr>
      <w:rFonts w:cs="Arial"/>
      <w:szCs w:val="18"/>
    </w:rPr>
  </w:style>
  <w:style w:type="paragraph" w:customStyle="1" w:styleId="CopyrightText">
    <w:name w:val="Copyright Text"/>
    <w:basedOn w:val="BodyText"/>
    <w:rsid w:val="00524475"/>
    <w:rPr>
      <w:sz w:val="18"/>
    </w:rPr>
  </w:style>
  <w:style w:type="paragraph" w:customStyle="1" w:styleId="BodySmallRight">
    <w:name w:val="Body Small Right"/>
    <w:basedOn w:val="BodyTextRight"/>
    <w:rsid w:val="00524475"/>
    <w:rPr>
      <w:sz w:val="18"/>
      <w:szCs w:val="18"/>
    </w:rPr>
  </w:style>
  <w:style w:type="paragraph" w:customStyle="1" w:styleId="MarginEdition">
    <w:name w:val="Margin Edition"/>
    <w:basedOn w:val="MarginNote"/>
    <w:rsid w:val="00524475"/>
    <w:pPr>
      <w:spacing w:before="0" w:after="0"/>
    </w:pPr>
    <w:rPr>
      <w:rFonts w:ascii="Times New Roman" w:hAnsi="Times New Roman"/>
      <w:color w:val="999999"/>
    </w:rPr>
  </w:style>
  <w:style w:type="paragraph" w:customStyle="1" w:styleId="Spacer">
    <w:name w:val="Spacer"/>
    <w:basedOn w:val="Normal"/>
    <w:rsid w:val="00524475"/>
    <w:rPr>
      <w:sz w:val="2"/>
      <w:szCs w:val="2"/>
    </w:rPr>
  </w:style>
  <w:style w:type="character" w:customStyle="1" w:styleId="Small">
    <w:name w:val="Small"/>
    <w:basedOn w:val="DefaultParagraphFont"/>
    <w:rsid w:val="00524475"/>
    <w:rPr>
      <w:sz w:val="16"/>
    </w:rPr>
  </w:style>
  <w:style w:type="paragraph" w:customStyle="1" w:styleId="WideTable">
    <w:name w:val="Wide Table"/>
    <w:basedOn w:val="Normal"/>
    <w:rsid w:val="00524475"/>
    <w:pPr>
      <w:ind w:left="-1418"/>
    </w:pPr>
    <w:rPr>
      <w:sz w:val="2"/>
      <w:szCs w:val="2"/>
    </w:rPr>
  </w:style>
  <w:style w:type="character" w:styleId="PageNumber">
    <w:name w:val="page number"/>
    <w:basedOn w:val="DefaultParagraphFont"/>
    <w:rsid w:val="00524475"/>
  </w:style>
  <w:style w:type="paragraph" w:styleId="Quote">
    <w:name w:val="Quote"/>
    <w:basedOn w:val="Heading1"/>
    <w:link w:val="QuoteChar"/>
    <w:qFormat/>
    <w:rsid w:val="00524475"/>
    <w:rPr>
      <w:b w:val="0"/>
      <w:sz w:val="72"/>
      <w:szCs w:val="72"/>
      <w:lang w:val="en-NZ"/>
    </w:rPr>
  </w:style>
  <w:style w:type="character" w:customStyle="1" w:styleId="QuoteChar">
    <w:name w:val="Quote Char"/>
    <w:basedOn w:val="DefaultParagraphFont"/>
    <w:link w:val="Quote"/>
    <w:rsid w:val="00524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475"/>
    <w:pPr>
      <w:pageBreakBefore/>
    </w:pPr>
  </w:style>
  <w:style w:type="paragraph" w:customStyle="1" w:styleId="Border">
    <w:name w:val="Border"/>
    <w:basedOn w:val="Normal"/>
    <w:qFormat/>
    <w:rsid w:val="00524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475"/>
    <w:rPr>
      <w:b/>
      <w:bCs/>
      <w:i/>
      <w:iCs/>
      <w:color w:val="auto"/>
    </w:rPr>
  </w:style>
  <w:style w:type="paragraph" w:styleId="IntenseQuote">
    <w:name w:val="Intense Quote"/>
    <w:basedOn w:val="Normal"/>
    <w:next w:val="Normal"/>
    <w:link w:val="IntenseQuoteChar"/>
    <w:uiPriority w:val="30"/>
    <w:qFormat/>
    <w:rsid w:val="00524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4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475"/>
    <w:rPr>
      <w:smallCaps/>
      <w:color w:val="auto"/>
      <w:u w:val="single"/>
    </w:rPr>
  </w:style>
  <w:style w:type="character" w:styleId="IntenseReference">
    <w:name w:val="Intense Reference"/>
    <w:basedOn w:val="DefaultParagraphFont"/>
    <w:uiPriority w:val="32"/>
    <w:qFormat/>
    <w:rsid w:val="00524475"/>
    <w:rPr>
      <w:b/>
      <w:bCs/>
      <w:smallCaps/>
      <w:color w:val="auto"/>
      <w:spacing w:val="5"/>
      <w:u w:val="single"/>
    </w:rPr>
  </w:style>
  <w:style w:type="paragraph" w:customStyle="1" w:styleId="2ColumnHeading">
    <w:name w:val="2Column Heading"/>
    <w:basedOn w:val="BodyText"/>
    <w:qFormat/>
    <w:rsid w:val="00524475"/>
    <w:pPr>
      <w:spacing w:after="60"/>
      <w:ind w:left="-2268"/>
    </w:pPr>
    <w:rPr>
      <w:b/>
    </w:rPr>
  </w:style>
  <w:style w:type="paragraph" w:customStyle="1" w:styleId="Heading1TOC">
    <w:name w:val="Heading1 TOC"/>
    <w:basedOn w:val="Normal"/>
    <w:qFormat/>
    <w:rsid w:val="00524475"/>
    <w:pPr>
      <w:spacing w:before="240" w:after="120"/>
    </w:pPr>
    <w:rPr>
      <w:rFonts w:ascii="Times New Roman" w:hAnsi="Times New Roman"/>
      <w:b/>
      <w:sz w:val="32"/>
    </w:rPr>
  </w:style>
  <w:style w:type="paragraph" w:customStyle="1" w:styleId="Heading2TOC">
    <w:name w:val="Heading2 TOC"/>
    <w:basedOn w:val="Normal"/>
    <w:qFormat/>
    <w:rsid w:val="00524475"/>
    <w:pPr>
      <w:spacing w:before="240" w:after="60"/>
    </w:pPr>
    <w:rPr>
      <w:rFonts w:ascii="Times New Roman" w:hAnsi="Times New Roman"/>
      <w:b/>
      <w:sz w:val="28"/>
    </w:rPr>
  </w:style>
  <w:style w:type="character" w:customStyle="1" w:styleId="Underline">
    <w:name w:val="Underline"/>
    <w:basedOn w:val="DefaultParagraphFont"/>
    <w:qFormat/>
    <w:rsid w:val="00524475"/>
    <w:rPr>
      <w:u w:val="single"/>
    </w:rPr>
  </w:style>
  <w:style w:type="character" w:customStyle="1" w:styleId="BoldandItalics">
    <w:name w:val="Bold and Italics"/>
    <w:qFormat/>
    <w:rsid w:val="00524475"/>
    <w:rPr>
      <w:b/>
      <w:i/>
      <w:u w:val="none"/>
    </w:rPr>
  </w:style>
  <w:style w:type="paragraph" w:styleId="BalloonText">
    <w:name w:val="Balloon Text"/>
    <w:basedOn w:val="Normal"/>
    <w:link w:val="BalloonTextChar"/>
    <w:rsid w:val="00524475"/>
    <w:rPr>
      <w:rFonts w:ascii="Tahoma" w:hAnsi="Tahoma" w:cs="Tahoma"/>
      <w:sz w:val="16"/>
      <w:szCs w:val="16"/>
    </w:rPr>
  </w:style>
  <w:style w:type="character" w:customStyle="1" w:styleId="BalloonTextChar">
    <w:name w:val="Balloon Text Char"/>
    <w:basedOn w:val="DefaultParagraphFont"/>
    <w:link w:val="BalloonText"/>
    <w:rsid w:val="005244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4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4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475"/>
    <w:rPr>
      <w:b/>
      <w:color w:val="660033"/>
      <w:spacing w:val="0"/>
    </w:rPr>
  </w:style>
  <w:style w:type="paragraph" w:customStyle="1" w:styleId="Nameditemlist">
    <w:name w:val="Named item list"/>
    <w:basedOn w:val="BodyText"/>
    <w:qFormat/>
    <w:rsid w:val="00524475"/>
    <w:pPr>
      <w:tabs>
        <w:tab w:val="left" w:pos="2835"/>
      </w:tabs>
      <w:ind w:left="2835" w:hanging="2835"/>
    </w:pPr>
  </w:style>
  <w:style w:type="paragraph" w:customStyle="1" w:styleId="BodyTextnopadding">
    <w:name w:val="Body Text no padding"/>
    <w:basedOn w:val="BodyText"/>
    <w:qFormat/>
    <w:rsid w:val="00524475"/>
    <w:pPr>
      <w:spacing w:before="0" w:after="0"/>
    </w:pPr>
  </w:style>
  <w:style w:type="paragraph" w:customStyle="1" w:styleId="BodyTextBold">
    <w:name w:val="Body Text Bold"/>
    <w:basedOn w:val="BodyText"/>
    <w:qFormat/>
    <w:rsid w:val="00524475"/>
    <w:rPr>
      <w:b/>
    </w:rPr>
  </w:style>
  <w:style w:type="character" w:styleId="Hyperlink">
    <w:name w:val="Hyperlink"/>
    <w:basedOn w:val="DefaultParagraphFont"/>
    <w:uiPriority w:val="99"/>
    <w:unhideWhenUsed/>
    <w:rsid w:val="008072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1287</Words>
  <Characters>7622</Characters>
  <Application>Microsoft Office Word</Application>
  <DocSecurity>0</DocSecurity>
  <Lines>224</Lines>
  <Paragraphs>156</Paragraphs>
  <ScaleCrop>false</ScaleCrop>
  <Company>Author-it Software Corporation Ltd.</Company>
  <LinksUpToDate>false</LinksUpToDate>
  <CharactersWithSpaces>8753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HLTDEN010 Implement an oral hygiene program for older people</dc:title>
  <dc:subject>Approved</dc:subject>
  <dc:creator>HumanAbility</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