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353" w:rsidP="00076353">
      <w:pPr>
        <w:pStyle w:val="Title"/>
      </w:pPr>
      <w:r>
        <w:fldChar w:fldCharType="begin"/>
      </w:r>
      <w:r>
        <w:instrText xml:space="preserve"> TITLE   \* MERGEFORMAT </w:instrText>
      </w:r>
      <w:r>
        <w:fldChar w:fldCharType="separate"/>
      </w:r>
      <w:r>
        <w:t>Assessment Requirements for HLTDEN010 Implement an oral hygiene program for older people</w:t>
      </w:r>
      <w:r>
        <w:fldChar w:fldCharType="end"/>
      </w:r>
    </w:p>
    <w:p w:rsidR="00076353" w:rsidP="00076353">
      <w:pPr>
        <w:pStyle w:val="Version"/>
        <w:sectPr w:rsidSect="006A4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699" w:rsidP="006A4699">
      <w:pPr>
        <w:pStyle w:val="SuperHeading"/>
      </w:pPr>
      <w:r w:rsidRPr="006A4699">
        <w:t>Assessment Requirements for HLTDEN010 Implement an oral hygiene program for older people</w:t>
      </w:r>
    </w:p>
    <w:p w:rsidR="00000000" w:rsidRPr="006A4699" w:rsidP="006A4699">
      <w:pPr>
        <w:pStyle w:val="Heading1"/>
      </w:pPr>
      <w:bookmarkStart w:id="1" w:name="O_819212"/>
      <w:bookmarkEnd w:id="1"/>
      <w:r w:rsidRPr="006A4699">
        <w:t>Modification History</w:t>
      </w:r>
    </w:p>
    <w:tbl>
      <w:tblPr>
        <w:tblW w:w="0" w:type="auto"/>
        <w:tblCellMar>
          <w:left w:w="62" w:type="dxa"/>
          <w:right w:w="62" w:type="dxa"/>
        </w:tblCellMar>
        <w:tblLook w:val="0000"/>
      </w:tblPr>
      <w:tblGrid>
        <w:gridCol w:w="2147"/>
        <w:gridCol w:w="7049"/>
      </w:tblGrid>
      <w:tr w:rsidTr="000763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699">
            <w:pPr>
              <w:pStyle w:val="BodyText"/>
              <w:rPr>
                <w:lang w:val="en-NZ"/>
              </w:rPr>
            </w:pPr>
            <w:r w:rsidRPr="006A4699">
              <w:t xml:space="preserve">Release </w:t>
            </w:r>
            <w:r w:rsidRPr="006A469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699">
            <w:pPr>
              <w:pStyle w:val="BodyText"/>
              <w:rPr>
                <w:lang w:val="en-NZ"/>
              </w:rPr>
            </w:pPr>
            <w:r w:rsidRPr="006A4699">
              <w:t xml:space="preserve">Comments </w:t>
            </w:r>
          </w:p>
        </w:tc>
      </w:tr>
      <w:tr w:rsidTr="000763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699">
            <w:pPr>
              <w:pStyle w:val="BodyText"/>
              <w:rPr>
                <w:lang w:val="en-NZ"/>
              </w:rPr>
            </w:pPr>
            <w:r w:rsidRPr="006A469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699" w:rsidP="006A4699">
            <w:pPr>
              <w:pStyle w:val="BodyText"/>
            </w:pPr>
            <w:r w:rsidRPr="006A4699">
              <w:t xml:space="preserve">This version was released in </w:t>
            </w:r>
            <w:r w:rsidRPr="006A4699">
              <w:rPr>
                <w:rStyle w:val="Emphasis"/>
              </w:rPr>
              <w:t>HLT Health Training Package release 3.0</w:t>
            </w:r>
            <w:r w:rsidRPr="006A4699">
              <w:t xml:space="preserve"> and meets the requirements of the 2012 Standards for Training Packages.</w:t>
            </w:r>
          </w:p>
          <w:p w:rsidR="00000000" w:rsidRPr="006A4699" w:rsidP="006A4699">
            <w:pPr>
              <w:pStyle w:val="BodyText"/>
            </w:pPr>
            <w:r w:rsidRPr="006A4699">
              <w:t>Minimal changes to the elements and performance criteria. New evidence requirements for assessment including volume and frequency requirements. Removal of pre-requisites</w:t>
            </w:r>
          </w:p>
          <w:p w:rsidR="00000000" w:rsidRPr="006A4699" w:rsidP="006A4699">
            <w:pPr>
              <w:pStyle w:val="BodyText"/>
            </w:pPr>
            <w:r w:rsidRPr="006A4699">
              <w:t>Supersedes HL</w:t>
            </w:r>
            <w:r w:rsidRPr="006A4699">
              <w:t>TDA413B</w:t>
            </w:r>
          </w:p>
        </w:tc>
      </w:tr>
    </w:tbl>
    <w:p w:rsidR="00000000" w:rsidRPr="006A4699" w:rsidP="006A4699">
      <w:pPr>
        <w:pStyle w:val="BodyText"/>
      </w:pPr>
    </w:p>
    <w:p w:rsidR="00000000" w:rsidRPr="006A4699" w:rsidP="006A4699">
      <w:pPr>
        <w:pStyle w:val="AllowPageBreak"/>
      </w:pPr>
    </w:p>
    <w:p w:rsidR="00000000" w:rsidRPr="006A4699" w:rsidP="006A4699">
      <w:pPr>
        <w:pStyle w:val="Heading1"/>
      </w:pPr>
      <w:bookmarkStart w:id="2" w:name="O_819213"/>
      <w:bookmarkEnd w:id="2"/>
      <w:r w:rsidRPr="006A4699">
        <w:t>Performance Evidence</w:t>
      </w:r>
    </w:p>
    <w:p w:rsidR="00000000" w:rsidRPr="006A4699" w:rsidP="00076353">
      <w:pPr>
        <w:pStyle w:val="BodyText"/>
      </w:pPr>
      <w:r w:rsidRPr="006A4699">
        <w:t>The candidate must show evidence of the ability to complete tasks outlined in elements and performance criteria of this unit, manage tasks and manage contingencies in the context of the job role. There must b</w:t>
      </w:r>
      <w:r w:rsidRPr="006A4699">
        <w:t xml:space="preserve">e evidence that the candidate has completed the following tasks: </w:t>
      </w:r>
    </w:p>
    <w:p w:rsidR="00000000" w:rsidRPr="006A4699" w:rsidP="006A4699">
      <w:pPr>
        <w:pStyle w:val="List"/>
      </w:pPr>
      <w:r w:rsidRPr="006A4699">
        <w:t>•</w:t>
      </w:r>
      <w:r w:rsidRPr="006A4699">
        <w:tab/>
        <w:t>provided complete and appropriate information to 3 different older people and/or their carers including:</w:t>
      </w:r>
    </w:p>
    <w:p w:rsidR="00000000" w:rsidRPr="006A4699" w:rsidP="006A4699">
      <w:pPr>
        <w:pStyle w:val="List2"/>
      </w:pPr>
      <w:r>
        <w:t>•</w:t>
      </w:r>
      <w:r>
        <w:tab/>
      </w:r>
      <w:r w:rsidRPr="006A4699">
        <w:t>information regarding the prevention of oral diseases</w:t>
      </w:r>
    </w:p>
    <w:p w:rsidR="00000000" w:rsidRPr="006A4699" w:rsidP="006A4699">
      <w:pPr>
        <w:pStyle w:val="List2"/>
      </w:pPr>
      <w:r>
        <w:t>•</w:t>
      </w:r>
      <w:r>
        <w:tab/>
      </w:r>
      <w:r w:rsidRPr="006A4699">
        <w:t xml:space="preserve">advice and demonstration </w:t>
      </w:r>
      <w:r w:rsidRPr="006A4699">
        <w:t>of oral hygiene techniques</w:t>
      </w:r>
    </w:p>
    <w:p w:rsidR="00000000" w:rsidRPr="006A4699" w:rsidP="006A4699">
      <w:pPr>
        <w:pStyle w:val="List"/>
      </w:pPr>
      <w:r w:rsidRPr="006A4699">
        <w:t>•</w:t>
      </w:r>
      <w:r w:rsidRPr="006A4699">
        <w:tab/>
        <w:t>selected and prepared special aids for oral hygiene to assist 3 patients with limited dexterity</w:t>
      </w:r>
    </w:p>
    <w:p w:rsidR="00076353" w:rsidP="006A4699">
      <w:pPr>
        <w:pStyle w:val="List"/>
      </w:pPr>
      <w:r w:rsidRPr="006A4699">
        <w:t>•</w:t>
      </w:r>
      <w:r w:rsidRPr="006A4699">
        <w:tab/>
        <w:t>implemented 3 prevention programs to suit individual patient’s oral health care needs.</w:t>
      </w:r>
    </w:p>
    <w:p w:rsidR="00076353" w:rsidP="006A4699">
      <w:pPr>
        <w:pStyle w:val="List"/>
      </w:pPr>
    </w:p>
    <w:p w:rsidR="00000000" w:rsidRPr="006A4699" w:rsidP="006A4699">
      <w:pPr>
        <w:pStyle w:val="Heading1"/>
      </w:pPr>
      <w:bookmarkStart w:id="3" w:name="O_819214"/>
      <w:bookmarkEnd w:id="3"/>
      <w:r w:rsidRPr="006A4699">
        <w:t>Knowledge Evidence</w:t>
      </w:r>
    </w:p>
    <w:p w:rsidR="00000000" w:rsidRPr="006A4699" w:rsidP="00076353">
      <w:pPr>
        <w:pStyle w:val="BodyText"/>
      </w:pPr>
      <w:r w:rsidRPr="006A4699">
        <w:t>The candidate must be able to demonstrate essential knowledge required to effectively complete the tasks outlined in elements and performance criteria of this unit, manage the task and manage contingencies in the context of the work role. This includes kno</w:t>
      </w:r>
      <w:r w:rsidRPr="006A4699">
        <w:t>wledge of:</w:t>
      </w:r>
    </w:p>
    <w:p w:rsidR="00000000" w:rsidRPr="006A4699" w:rsidP="006A4699">
      <w:pPr>
        <w:pStyle w:val="List"/>
      </w:pPr>
      <w:r w:rsidRPr="006A4699">
        <w:t>•</w:t>
      </w:r>
      <w:r w:rsidRPr="006A4699">
        <w:tab/>
        <w:t>national and State/Territory legal and ethical requirements and considerations for dental assisting work including:</w:t>
      </w:r>
    </w:p>
    <w:p w:rsidR="00000000" w:rsidRPr="006A4699" w:rsidP="006A4699">
      <w:pPr>
        <w:pStyle w:val="List2"/>
      </w:pPr>
      <w:r w:rsidRPr="006A4699">
        <w:t>­</w:t>
      </w:r>
      <w:r w:rsidRPr="006A4699">
        <w:tab/>
        <w:t>codes of practice</w:t>
      </w:r>
    </w:p>
    <w:p w:rsidR="00000000" w:rsidRPr="006A4699" w:rsidP="006A4699">
      <w:pPr>
        <w:pStyle w:val="List2"/>
      </w:pPr>
      <w:r w:rsidRPr="006A4699">
        <w:t>­</w:t>
      </w:r>
      <w:r w:rsidRPr="006A4699">
        <w:tab/>
        <w:t>discrimination</w:t>
      </w:r>
    </w:p>
    <w:p w:rsidR="00000000" w:rsidRPr="006A4699" w:rsidP="006A4699">
      <w:pPr>
        <w:pStyle w:val="List2"/>
      </w:pPr>
      <w:r w:rsidRPr="006A4699">
        <w:t>­</w:t>
      </w:r>
      <w:r w:rsidRPr="006A4699">
        <w:tab/>
        <w:t>duty of care</w:t>
      </w:r>
    </w:p>
    <w:p w:rsidR="00000000" w:rsidRPr="006A4699" w:rsidP="006A4699">
      <w:pPr>
        <w:pStyle w:val="List2"/>
      </w:pPr>
      <w:r>
        <w:t>•</w:t>
      </w:r>
      <w:r>
        <w:tab/>
      </w:r>
      <w:r w:rsidRPr="006A4699">
        <w:t>informed consent and statutory requirements of consent</w:t>
      </w:r>
    </w:p>
    <w:p w:rsidR="00000000" w:rsidRPr="006A4699" w:rsidP="006A4699">
      <w:pPr>
        <w:pStyle w:val="List2"/>
      </w:pPr>
      <w:r w:rsidRPr="006A4699">
        <w:t>­</w:t>
      </w:r>
      <w:r w:rsidRPr="006A4699">
        <w:tab/>
        <w:t>practice standar</w:t>
      </w:r>
      <w:r w:rsidRPr="006A4699">
        <w:t>ds – Dental Board of Australia guidelines on infection control</w:t>
      </w:r>
    </w:p>
    <w:p w:rsidR="00000000" w:rsidRPr="006A4699" w:rsidP="006A4699">
      <w:pPr>
        <w:pStyle w:val="List2"/>
      </w:pPr>
      <w:r w:rsidRPr="006A4699">
        <w:t>­</w:t>
      </w:r>
      <w:r w:rsidRPr="006A4699">
        <w:tab/>
        <w:t>privacy, confidentiality and disclosure</w:t>
      </w:r>
    </w:p>
    <w:p w:rsidR="00000000" w:rsidRPr="006A4699" w:rsidP="006A4699">
      <w:pPr>
        <w:pStyle w:val="List2"/>
      </w:pPr>
      <w:r w:rsidRPr="006A4699">
        <w:t>­</w:t>
      </w:r>
      <w:r w:rsidRPr="006A4699">
        <w:tab/>
        <w:t>records management</w:t>
      </w:r>
    </w:p>
    <w:p w:rsidR="00000000" w:rsidRPr="006A4699" w:rsidP="006A4699">
      <w:pPr>
        <w:pStyle w:val="List2"/>
      </w:pPr>
      <w:r w:rsidRPr="006A4699">
        <w:t>­</w:t>
      </w:r>
      <w:r w:rsidRPr="006A4699">
        <w:tab/>
        <w:t>work role boundaries – responsibilities and limitations</w:t>
      </w:r>
    </w:p>
    <w:p w:rsidR="00000000" w:rsidRPr="006A4699" w:rsidP="006A4699">
      <w:pPr>
        <w:pStyle w:val="List2"/>
      </w:pPr>
      <w:r w:rsidRPr="006A4699">
        <w:t>­</w:t>
      </w:r>
      <w:r w:rsidRPr="006A4699">
        <w:tab/>
        <w:t>work health and safety</w:t>
      </w:r>
    </w:p>
    <w:p w:rsidR="00000000" w:rsidRPr="006A4699" w:rsidP="006A4699">
      <w:pPr>
        <w:pStyle w:val="List"/>
      </w:pPr>
      <w:r w:rsidRPr="006A4699">
        <w:t>•</w:t>
      </w:r>
      <w:r w:rsidRPr="006A4699">
        <w:tab/>
        <w:t xml:space="preserve">fundamental oral anatomy including: </w:t>
      </w:r>
    </w:p>
    <w:p w:rsidR="00000000" w:rsidRPr="006A4699" w:rsidP="006A4699">
      <w:pPr>
        <w:pStyle w:val="List2"/>
      </w:pPr>
      <w:r>
        <w:t>•</w:t>
      </w:r>
      <w:r>
        <w:tab/>
      </w:r>
      <w:r w:rsidRPr="006A4699">
        <w:t>struct</w:t>
      </w:r>
      <w:r w:rsidRPr="006A4699">
        <w:t>ures of the oral cavity, hard and soft palate, lateral and posterior borders of the oral cavity, tongue and floor of the mouth</w:t>
      </w:r>
    </w:p>
    <w:p w:rsidR="00000000" w:rsidRPr="006A4699" w:rsidP="006A4699">
      <w:pPr>
        <w:pStyle w:val="List2"/>
      </w:pPr>
      <w:r>
        <w:t>•</w:t>
      </w:r>
      <w:r>
        <w:tab/>
      </w:r>
      <w:r w:rsidRPr="006A4699">
        <w:t>teeth form and function</w:t>
      </w:r>
    </w:p>
    <w:p w:rsidR="00000000" w:rsidRPr="006A4699" w:rsidP="006A4699">
      <w:pPr>
        <w:pStyle w:val="List2"/>
      </w:pPr>
      <w:r>
        <w:t>•</w:t>
      </w:r>
      <w:r>
        <w:tab/>
      </w:r>
      <w:r w:rsidRPr="006A4699">
        <w:t xml:space="preserve">dentition, arrangement of the teeth, naming and coding of teeth </w:t>
      </w:r>
    </w:p>
    <w:p w:rsidR="00000000" w:rsidRPr="006A4699" w:rsidP="006A4699">
      <w:pPr>
        <w:pStyle w:val="List"/>
      </w:pPr>
      <w:r w:rsidRPr="006A4699">
        <w:t>•</w:t>
      </w:r>
      <w:r w:rsidRPr="006A4699">
        <w:tab/>
        <w:t xml:space="preserve">plaque and its differing roles in </w:t>
      </w:r>
      <w:r w:rsidRPr="006A4699">
        <w:t xml:space="preserve">the development of dental caries and periodontal disease </w:t>
      </w:r>
    </w:p>
    <w:p w:rsidR="00000000" w:rsidRPr="006A4699" w:rsidP="006A4699">
      <w:pPr>
        <w:pStyle w:val="List"/>
      </w:pPr>
      <w:r w:rsidRPr="006A4699">
        <w:t>•</w:t>
      </w:r>
      <w:r w:rsidRPr="006A4699">
        <w:tab/>
        <w:t>saliva and its role in the maintenance of oral health including:</w:t>
      </w:r>
    </w:p>
    <w:p w:rsidR="00000000" w:rsidRPr="006A4699" w:rsidP="006A4699">
      <w:pPr>
        <w:pStyle w:val="List2"/>
      </w:pPr>
      <w:r>
        <w:t>•</w:t>
      </w:r>
      <w:r>
        <w:tab/>
      </w:r>
      <w:r w:rsidRPr="006A4699">
        <w:t>protecting teeth by neutralising acid</w:t>
      </w:r>
    </w:p>
    <w:p w:rsidR="00000000" w:rsidRPr="006A4699" w:rsidP="006A4699">
      <w:pPr>
        <w:pStyle w:val="List2"/>
      </w:pPr>
      <w:r>
        <w:t>•</w:t>
      </w:r>
      <w:r>
        <w:tab/>
      </w:r>
      <w:r w:rsidRPr="006A4699">
        <w:t>acting as a lubricant</w:t>
      </w:r>
    </w:p>
    <w:p w:rsidR="00000000" w:rsidRPr="006A4699" w:rsidP="006A4699">
      <w:pPr>
        <w:pStyle w:val="List2"/>
      </w:pPr>
      <w:r>
        <w:t>•</w:t>
      </w:r>
      <w:r>
        <w:tab/>
      </w:r>
      <w:r w:rsidRPr="006A4699">
        <w:t>delivering calcium, phosphate and fluoride to the tooth surface</w:t>
      </w:r>
    </w:p>
    <w:p w:rsidR="00000000" w:rsidRPr="006A4699" w:rsidP="006A4699">
      <w:pPr>
        <w:pStyle w:val="List"/>
      </w:pPr>
      <w:r w:rsidRPr="006A4699">
        <w:t>•</w:t>
      </w:r>
      <w:r w:rsidRPr="006A4699">
        <w:tab/>
        <w:t>factors that lead to the development of dental caries including:</w:t>
      </w:r>
    </w:p>
    <w:p w:rsidR="00000000" w:rsidRPr="006A4699" w:rsidP="006A4699">
      <w:pPr>
        <w:pStyle w:val="List2"/>
      </w:pPr>
      <w:r>
        <w:t>•</w:t>
      </w:r>
      <w:r>
        <w:tab/>
      </w:r>
      <w:r w:rsidRPr="006A4699">
        <w:t>bacteria in dental plaque</w:t>
      </w:r>
    </w:p>
    <w:p w:rsidR="00000000" w:rsidRPr="006A4699" w:rsidP="006A4699">
      <w:pPr>
        <w:pStyle w:val="List2"/>
      </w:pPr>
      <w:r>
        <w:t>•</w:t>
      </w:r>
      <w:r>
        <w:tab/>
      </w:r>
      <w:r w:rsidRPr="006A4699">
        <w:t xml:space="preserve">diet </w:t>
      </w:r>
    </w:p>
    <w:p w:rsidR="00000000" w:rsidRPr="006A4699" w:rsidP="006A4699">
      <w:pPr>
        <w:pStyle w:val="List2"/>
      </w:pPr>
      <w:r>
        <w:t>•</w:t>
      </w:r>
      <w:r>
        <w:tab/>
      </w:r>
      <w:r w:rsidRPr="006A4699">
        <w:t>susceptible tooth surfaces</w:t>
      </w:r>
    </w:p>
    <w:p w:rsidR="00000000" w:rsidRPr="006A4699" w:rsidP="006A4699">
      <w:pPr>
        <w:pStyle w:val="List2"/>
      </w:pPr>
      <w:r>
        <w:t>•</w:t>
      </w:r>
      <w:r>
        <w:tab/>
      </w:r>
      <w:r w:rsidRPr="006A4699">
        <w:t>socioeconomic background including dietary intake</w:t>
      </w:r>
    </w:p>
    <w:p w:rsidR="00000000" w:rsidRPr="006A4699" w:rsidP="006A4699">
      <w:pPr>
        <w:pStyle w:val="List2"/>
      </w:pPr>
      <w:r>
        <w:t>•</w:t>
      </w:r>
      <w:r>
        <w:tab/>
      </w:r>
      <w:r w:rsidRPr="006A4699">
        <w:t>mental health conditions and awareness of oral health issues</w:t>
      </w:r>
    </w:p>
    <w:p w:rsidR="00000000" w:rsidRPr="006A4699" w:rsidP="006A4699">
      <w:pPr>
        <w:pStyle w:val="List2"/>
      </w:pPr>
      <w:r>
        <w:t>•</w:t>
      </w:r>
      <w:r>
        <w:tab/>
      </w:r>
      <w:r w:rsidRPr="006A4699">
        <w:t>age of teeth</w:t>
      </w:r>
    </w:p>
    <w:p w:rsidR="00000000" w:rsidRPr="006A4699" w:rsidP="006A4699">
      <w:pPr>
        <w:pStyle w:val="List"/>
      </w:pPr>
      <w:r w:rsidRPr="006A4699">
        <w:t>•</w:t>
      </w:r>
      <w:r w:rsidRPr="006A4699">
        <w:tab/>
        <w:t>factors that prevent and control dental caries:</w:t>
      </w:r>
    </w:p>
    <w:p w:rsidR="00000000" w:rsidRPr="006A4699" w:rsidP="006A4699">
      <w:pPr>
        <w:pStyle w:val="List2"/>
      </w:pPr>
      <w:r>
        <w:t>•</w:t>
      </w:r>
      <w:r>
        <w:tab/>
      </w:r>
      <w:r w:rsidRPr="006A4699">
        <w:t>increasing salivary flow and optimising its composition</w:t>
      </w:r>
    </w:p>
    <w:p w:rsidR="00000000" w:rsidRPr="006A4699" w:rsidP="006A4699">
      <w:pPr>
        <w:pStyle w:val="List2"/>
      </w:pPr>
      <w:r>
        <w:t>•</w:t>
      </w:r>
      <w:r>
        <w:tab/>
      </w:r>
      <w:r w:rsidRPr="006A4699">
        <w:t>fluorides</w:t>
      </w:r>
    </w:p>
    <w:p w:rsidR="00000000" w:rsidRPr="006A4699" w:rsidP="006A4699">
      <w:pPr>
        <w:pStyle w:val="List2"/>
      </w:pPr>
      <w:r>
        <w:t>•</w:t>
      </w:r>
      <w:r>
        <w:tab/>
      </w:r>
      <w:r w:rsidRPr="006A4699">
        <w:t>plaque control and removal</w:t>
      </w:r>
    </w:p>
    <w:p w:rsidR="00000000" w:rsidRPr="006A4699" w:rsidP="006A4699">
      <w:pPr>
        <w:pStyle w:val="List2"/>
      </w:pPr>
      <w:r>
        <w:t>•</w:t>
      </w:r>
      <w:r>
        <w:tab/>
      </w:r>
      <w:r w:rsidRPr="006A4699">
        <w:t>dietary change</w:t>
      </w:r>
    </w:p>
    <w:p w:rsidR="00000000" w:rsidRPr="006A4699" w:rsidP="006A4699">
      <w:pPr>
        <w:pStyle w:val="List2"/>
      </w:pPr>
      <w:r>
        <w:t>•</w:t>
      </w:r>
      <w:r>
        <w:tab/>
      </w:r>
      <w:r w:rsidRPr="006A4699">
        <w:t>oral health education</w:t>
      </w:r>
    </w:p>
    <w:p w:rsidR="00000000" w:rsidRPr="006A4699" w:rsidP="006A4699">
      <w:pPr>
        <w:pStyle w:val="List"/>
      </w:pPr>
      <w:r w:rsidRPr="006A4699">
        <w:t>•</w:t>
      </w:r>
      <w:r w:rsidRPr="006A4699">
        <w:tab/>
        <w:t>factors that lead to the development of periodontal</w:t>
      </w:r>
      <w:r w:rsidRPr="006A4699">
        <w:t xml:space="preserve"> disease including:</w:t>
      </w:r>
    </w:p>
    <w:p w:rsidR="00000000" w:rsidRPr="006A4699" w:rsidP="006A4699">
      <w:pPr>
        <w:pStyle w:val="List2"/>
      </w:pPr>
      <w:r>
        <w:t>•</w:t>
      </w:r>
      <w:r>
        <w:tab/>
      </w:r>
      <w:r w:rsidRPr="006A4699">
        <w:t>bacteria in dental plaque</w:t>
      </w:r>
    </w:p>
    <w:p w:rsidR="00000000" w:rsidRPr="006A4699" w:rsidP="006A4699">
      <w:pPr>
        <w:pStyle w:val="List2"/>
      </w:pPr>
      <w:r>
        <w:t>•</w:t>
      </w:r>
      <w:r>
        <w:tab/>
      </w:r>
      <w:r w:rsidRPr="006A4699">
        <w:t>accumulation of plaque and calculus</w:t>
      </w:r>
    </w:p>
    <w:p w:rsidR="00000000" w:rsidRPr="006A4699" w:rsidP="006A4699">
      <w:pPr>
        <w:pStyle w:val="List2"/>
      </w:pPr>
      <w:r>
        <w:t>•</w:t>
      </w:r>
      <w:r>
        <w:tab/>
      </w:r>
      <w:r w:rsidRPr="006A4699">
        <w:t>smoking</w:t>
      </w:r>
    </w:p>
    <w:p w:rsidR="00000000" w:rsidRPr="006A4699" w:rsidP="006A4699">
      <w:pPr>
        <w:pStyle w:val="List2"/>
      </w:pPr>
      <w:r>
        <w:t>•</w:t>
      </w:r>
      <w:r>
        <w:tab/>
      </w:r>
      <w:r w:rsidRPr="006A4699">
        <w:t>medications</w:t>
      </w:r>
    </w:p>
    <w:p w:rsidR="00000000" w:rsidRPr="006A4699" w:rsidP="006A4699">
      <w:pPr>
        <w:pStyle w:val="List2"/>
      </w:pPr>
      <w:r>
        <w:t>•</w:t>
      </w:r>
      <w:r>
        <w:tab/>
      </w:r>
      <w:r w:rsidRPr="006A4699">
        <w:t>age of teeth</w:t>
      </w:r>
    </w:p>
    <w:p w:rsidR="00000000" w:rsidRPr="006A4699" w:rsidP="006A4699">
      <w:pPr>
        <w:pStyle w:val="List"/>
      </w:pPr>
      <w:r w:rsidRPr="006A4699">
        <w:t>•</w:t>
      </w:r>
      <w:r w:rsidRPr="006A4699">
        <w:tab/>
        <w:t>factors that prevent and control periodontal disease including:</w:t>
      </w:r>
    </w:p>
    <w:p w:rsidR="00000000" w:rsidRPr="006A4699" w:rsidP="006A4699">
      <w:pPr>
        <w:pStyle w:val="List2"/>
      </w:pPr>
      <w:r>
        <w:t>•</w:t>
      </w:r>
      <w:r>
        <w:tab/>
      </w:r>
      <w:r w:rsidRPr="006A4699">
        <w:t>oral health education</w:t>
      </w:r>
    </w:p>
    <w:p w:rsidR="00000000" w:rsidRPr="006A4699" w:rsidP="006A4699">
      <w:pPr>
        <w:pStyle w:val="List2"/>
      </w:pPr>
      <w:r>
        <w:t>•</w:t>
      </w:r>
      <w:r>
        <w:tab/>
      </w:r>
      <w:r w:rsidRPr="006A4699">
        <w:t>plaque control</w:t>
      </w:r>
    </w:p>
    <w:p w:rsidR="00000000" w:rsidRPr="006A4699" w:rsidP="006A4699">
      <w:pPr>
        <w:pStyle w:val="List"/>
      </w:pPr>
      <w:r w:rsidRPr="006A4699">
        <w:t>•</w:t>
      </w:r>
      <w:r w:rsidRPr="006A4699">
        <w:tab/>
        <w:t xml:space="preserve">causes and prevention </w:t>
      </w:r>
      <w:r w:rsidRPr="006A4699">
        <w:t>of non-caries tooth wear including:</w:t>
      </w:r>
    </w:p>
    <w:p w:rsidR="00000000" w:rsidRPr="006A4699" w:rsidP="006A4699">
      <w:pPr>
        <w:pStyle w:val="List2"/>
      </w:pPr>
      <w:r>
        <w:t>•</w:t>
      </w:r>
      <w:r>
        <w:tab/>
      </w:r>
      <w:r w:rsidRPr="006A4699">
        <w:t>erosion</w:t>
      </w:r>
    </w:p>
    <w:p w:rsidR="00000000" w:rsidRPr="006A4699" w:rsidP="006A4699">
      <w:pPr>
        <w:pStyle w:val="List2"/>
      </w:pPr>
      <w:r>
        <w:t>•</w:t>
      </w:r>
      <w:r>
        <w:tab/>
      </w:r>
      <w:r w:rsidRPr="006A4699">
        <w:t>abrasion</w:t>
      </w:r>
    </w:p>
    <w:p w:rsidR="00000000" w:rsidRPr="006A4699" w:rsidP="006A4699">
      <w:pPr>
        <w:pStyle w:val="List2"/>
      </w:pPr>
      <w:r>
        <w:t>•</w:t>
      </w:r>
      <w:r>
        <w:tab/>
      </w:r>
      <w:r w:rsidRPr="006A4699">
        <w:t>attrition</w:t>
      </w:r>
    </w:p>
    <w:p w:rsidR="00000000" w:rsidRPr="006A4699" w:rsidP="006A4699">
      <w:pPr>
        <w:pStyle w:val="List"/>
      </w:pPr>
      <w:r w:rsidRPr="006A4699">
        <w:t>•</w:t>
      </w:r>
      <w:r w:rsidRPr="006A4699">
        <w:tab/>
        <w:t xml:space="preserve">the impact of smoking on oral soft tissues </w:t>
      </w:r>
    </w:p>
    <w:p w:rsidR="00000000" w:rsidRPr="006A4699" w:rsidP="006A4699">
      <w:pPr>
        <w:pStyle w:val="List"/>
      </w:pPr>
      <w:r w:rsidRPr="006A4699">
        <w:t>•</w:t>
      </w:r>
      <w:r w:rsidRPr="006A4699">
        <w:tab/>
        <w:t>systemic conditions and their pharmacology treatments that influence the development of oral disease</w:t>
      </w:r>
    </w:p>
    <w:p w:rsidR="00000000" w:rsidRPr="006A4699" w:rsidP="006A4699">
      <w:pPr>
        <w:pStyle w:val="List"/>
      </w:pPr>
      <w:r w:rsidRPr="006A4699">
        <w:t>•</w:t>
      </w:r>
      <w:r w:rsidRPr="006A4699">
        <w:tab/>
        <w:t>modification to standard toothbrushe</w:t>
      </w:r>
      <w:r w:rsidRPr="006A4699">
        <w:t>s and other aids for oral hygiene to meet the needs of patients with reduced dexterity</w:t>
      </w:r>
    </w:p>
    <w:p w:rsidR="00076353" w:rsidP="006A4699">
      <w:pPr>
        <w:pStyle w:val="List"/>
      </w:pPr>
      <w:r w:rsidRPr="006A4699">
        <w:t>•</w:t>
      </w:r>
      <w:r w:rsidRPr="006A4699">
        <w:tab/>
        <w:t>modifications to oral health education programs related to special needs due to disability, older age and dementia.</w:t>
      </w:r>
    </w:p>
    <w:p w:rsidR="00076353" w:rsidP="006A4699">
      <w:pPr>
        <w:pStyle w:val="List"/>
      </w:pPr>
    </w:p>
    <w:p w:rsidR="00000000" w:rsidRPr="006A4699" w:rsidP="006A4699">
      <w:pPr>
        <w:pStyle w:val="Heading1"/>
      </w:pPr>
      <w:bookmarkStart w:id="4" w:name="O_819215"/>
      <w:bookmarkEnd w:id="4"/>
      <w:r w:rsidRPr="006A4699">
        <w:t>Assessment Conditions</w:t>
      </w:r>
    </w:p>
    <w:p w:rsidR="00000000" w:rsidRPr="006A4699" w:rsidP="00076353">
      <w:pPr>
        <w:pStyle w:val="BodyText"/>
      </w:pPr>
      <w:r w:rsidRPr="006A4699">
        <w:t xml:space="preserve">Skills must have been demonstrated in the dental clinic workplace with the addition of simulations and scenarios where the full range of contexts and situations cannot be provided in the workplace. The following conditions must be met for this unit: </w:t>
      </w:r>
    </w:p>
    <w:p w:rsidR="00000000" w:rsidRPr="006A4699" w:rsidP="006A4699">
      <w:pPr>
        <w:pStyle w:val="List"/>
      </w:pPr>
      <w:r w:rsidRPr="006A4699">
        <w:t>•</w:t>
      </w:r>
      <w:r w:rsidRPr="006A4699">
        <w:tab/>
        <w:t xml:space="preserve">us </w:t>
      </w:r>
      <w:r w:rsidRPr="006A4699">
        <w:t>of suitable facilities, equipment and resources including:</w:t>
      </w:r>
    </w:p>
    <w:p w:rsidR="00000000" w:rsidRPr="006A4699" w:rsidP="006A4699">
      <w:pPr>
        <w:pStyle w:val="List2"/>
      </w:pPr>
      <w:r>
        <w:t>•</w:t>
      </w:r>
      <w:r>
        <w:tab/>
      </w:r>
      <w:r w:rsidRPr="006A4699">
        <w:t>personal protective equipment</w:t>
      </w:r>
    </w:p>
    <w:p w:rsidR="00000000" w:rsidRPr="006A4699" w:rsidP="006A4699">
      <w:pPr>
        <w:pStyle w:val="List2"/>
      </w:pPr>
      <w:r>
        <w:t>•</w:t>
      </w:r>
      <w:r>
        <w:tab/>
      </w:r>
      <w:r w:rsidRPr="006A4699">
        <w:t>cleaning equipment</w:t>
      </w:r>
    </w:p>
    <w:p w:rsidR="00000000" w:rsidRPr="006A4699" w:rsidP="006A4699">
      <w:pPr>
        <w:pStyle w:val="List2"/>
      </w:pPr>
      <w:r>
        <w:t>•</w:t>
      </w:r>
      <w:r>
        <w:tab/>
      </w:r>
      <w:r w:rsidRPr="006A4699">
        <w:t>disposable and non-disposable instruments</w:t>
      </w:r>
    </w:p>
    <w:p w:rsidR="00000000" w:rsidRPr="006A4699" w:rsidP="006A4699">
      <w:pPr>
        <w:pStyle w:val="List2"/>
      </w:pPr>
      <w:r>
        <w:t>•</w:t>
      </w:r>
      <w:r>
        <w:tab/>
      </w:r>
      <w:r w:rsidRPr="006A4699">
        <w:t>Dental Board of Australia guidelines on infection control on which the candidate bases the plannin</w:t>
      </w:r>
      <w:r w:rsidRPr="006A4699">
        <w:t>g process</w:t>
      </w:r>
    </w:p>
    <w:p w:rsidR="00000000" w:rsidRPr="006A4699" w:rsidP="006A4699">
      <w:pPr>
        <w:pStyle w:val="List"/>
      </w:pPr>
      <w:r w:rsidRPr="006A4699">
        <w:t>•</w:t>
      </w:r>
      <w:r w:rsidRPr="006A4699">
        <w:tab/>
        <w:t>modelling of industry operating conditions including access to real people for simulations and scenarios in dental assisting work.</w:t>
      </w:r>
    </w:p>
    <w:p w:rsidR="00000000" w:rsidRPr="006A4699" w:rsidP="006A4699">
      <w:pPr>
        <w:pStyle w:val="BodyText"/>
      </w:pPr>
    </w:p>
    <w:p w:rsidR="00000000" w:rsidRPr="006A4699" w:rsidP="00076353">
      <w:pPr>
        <w:pStyle w:val="BodyText"/>
      </w:pPr>
      <w:r w:rsidRPr="006A4699">
        <w:t>Assessors must satisfy the Standards for Registered Training Organisations (RTOs) 2015/AQTF mandatory competency</w:t>
      </w:r>
      <w:r w:rsidRPr="006A4699">
        <w:t xml:space="preserve"> requirements for assessors.</w:t>
      </w:r>
    </w:p>
    <w:p w:rsidR="00076353" w:rsidP="00076353">
      <w:pPr>
        <w:pStyle w:val="BodyText"/>
      </w:pPr>
      <w:r w:rsidRPr="006A4699">
        <w:t>In addition, assessors must hold a minimum of 5 years clinical experience in dental assisting work.</w:t>
      </w:r>
    </w:p>
    <w:p w:rsidR="00000000" w:rsidRPr="006A4699" w:rsidP="006A4699">
      <w:pPr>
        <w:pStyle w:val="Heading1"/>
      </w:pPr>
      <w:bookmarkStart w:id="5" w:name="O_819218"/>
      <w:bookmarkEnd w:id="5"/>
      <w:r w:rsidRPr="006A4699">
        <w:t>Links</w:t>
      </w:r>
    </w:p>
    <w:p w:rsidR="00000000" w:rsidRPr="006A4699" w:rsidP="00076353">
      <w:pPr>
        <w:pStyle w:val="BodyText"/>
      </w:pPr>
      <w:r w:rsidRPr="006A469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6DB6">
        <w:rPr>
          <w:rStyle w:val="Hyperlink"/>
        </w:rPr>
        <w:t>https://vetnet.gov.au/Pages/TrainingDocs.aspx?q=ced1390f-48d9-4ab0-bd50-b015e5485705</w:t>
      </w:r>
      <w:r>
        <w:fldChar w:fldCharType="end"/>
      </w:r>
    </w:p>
    <w:p w:rsidR="00000000" w:rsidRPr="006A4699" w:rsidP="006A4699"/>
    <w:sectPr w:rsidSect="006A4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9" w:rsidRPr="00076353" w:rsidP="00076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53" w:rsidP="006A4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353" w:rsidP="006A46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76353" w:rsidP="006A4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699" w:rsidRPr="00076353" w:rsidP="00076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53" w:rsidRPr="002D2AF8" w:rsidP="006A4699">
    <w:pPr>
      <w:pStyle w:val="Header"/>
      <w:framePr w:wrap="around"/>
    </w:pPr>
    <w:r>
      <w:fldChar w:fldCharType="begin"/>
    </w:r>
    <w:r>
      <w:instrText xml:space="preserve"> TITLE   \* MERGEFORMAT </w:instrText>
    </w:r>
    <w:r>
      <w:fldChar w:fldCharType="separate"/>
    </w:r>
    <w:r>
      <w:t>Assessment Requirements for HLTDEN010 Implement an oral hygiene program for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76353" w:rsidP="006A4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699"/>
    <w:pPr>
      <w:spacing w:before="360" w:after="60"/>
      <w:outlineLvl w:val="0"/>
    </w:pPr>
    <w:rPr>
      <w:sz w:val="32"/>
    </w:rPr>
  </w:style>
  <w:style w:type="paragraph" w:styleId="Heading2">
    <w:name w:val="heading 2"/>
    <w:basedOn w:val="HeadingBase"/>
    <w:next w:val="BodyText"/>
    <w:link w:val="Heading2Char"/>
    <w:qFormat/>
    <w:rsid w:val="006A4699"/>
    <w:pPr>
      <w:keepLines/>
      <w:spacing w:before="240" w:after="120"/>
      <w:outlineLvl w:val="1"/>
    </w:pPr>
    <w:rPr>
      <w:sz w:val="28"/>
      <w:szCs w:val="40"/>
    </w:rPr>
  </w:style>
  <w:style w:type="paragraph" w:styleId="Heading3">
    <w:name w:val="heading 3"/>
    <w:basedOn w:val="HeadingBase"/>
    <w:next w:val="BodyText"/>
    <w:link w:val="Heading3Char"/>
    <w:qFormat/>
    <w:rsid w:val="006A4699"/>
    <w:pPr>
      <w:spacing w:before="180" w:after="120"/>
      <w:outlineLvl w:val="2"/>
    </w:pPr>
    <w:rPr>
      <w:spacing w:val="-10"/>
      <w:kern w:val="32"/>
    </w:rPr>
  </w:style>
  <w:style w:type="paragraph" w:styleId="Heading4">
    <w:name w:val="heading 4"/>
    <w:basedOn w:val="HeadingBase"/>
    <w:next w:val="BodyText"/>
    <w:link w:val="Heading4Char"/>
    <w:qFormat/>
    <w:rsid w:val="006A4699"/>
    <w:pPr>
      <w:spacing w:before="160" w:after="120"/>
      <w:outlineLvl w:val="3"/>
    </w:pPr>
    <w:rPr>
      <w:sz w:val="22"/>
    </w:rPr>
  </w:style>
  <w:style w:type="paragraph" w:styleId="Heading5">
    <w:name w:val="heading 5"/>
    <w:basedOn w:val="HeadingBase"/>
    <w:next w:val="Normal"/>
    <w:link w:val="Heading5Char"/>
    <w:qFormat/>
    <w:rsid w:val="006A4699"/>
    <w:pPr>
      <w:spacing w:before="80"/>
      <w:outlineLvl w:val="4"/>
    </w:pPr>
    <w:rPr>
      <w:color w:val="918585"/>
      <w:sz w:val="20"/>
    </w:rPr>
  </w:style>
  <w:style w:type="paragraph" w:styleId="Heading6">
    <w:name w:val="heading 6"/>
    <w:basedOn w:val="HeadingBase"/>
    <w:next w:val="Normal"/>
    <w:link w:val="Heading6Char"/>
    <w:qFormat/>
    <w:rsid w:val="006A4699"/>
    <w:pPr>
      <w:spacing w:before="60"/>
      <w:outlineLvl w:val="5"/>
    </w:pPr>
    <w:rPr>
      <w:color w:val="918585"/>
      <w:sz w:val="20"/>
    </w:rPr>
  </w:style>
  <w:style w:type="paragraph" w:styleId="Heading7">
    <w:name w:val="heading 7"/>
    <w:basedOn w:val="Normal"/>
    <w:next w:val="Normal"/>
    <w:link w:val="Heading7Char"/>
    <w:qFormat/>
    <w:rsid w:val="006A4699"/>
    <w:pPr>
      <w:ind w:left="720"/>
      <w:outlineLvl w:val="6"/>
    </w:pPr>
    <w:rPr>
      <w:i/>
    </w:rPr>
  </w:style>
  <w:style w:type="paragraph" w:styleId="Heading8">
    <w:name w:val="heading 8"/>
    <w:basedOn w:val="Normal"/>
    <w:next w:val="Normal"/>
    <w:link w:val="Heading8Char"/>
    <w:qFormat/>
    <w:rsid w:val="006A4699"/>
    <w:pPr>
      <w:ind w:left="720"/>
      <w:outlineLvl w:val="7"/>
    </w:pPr>
    <w:rPr>
      <w:i/>
    </w:rPr>
  </w:style>
  <w:style w:type="paragraph" w:styleId="Heading9">
    <w:name w:val="heading 9"/>
    <w:basedOn w:val="Normal"/>
    <w:next w:val="Normal"/>
    <w:link w:val="Heading9Char"/>
    <w:qFormat/>
    <w:rsid w:val="006A4699"/>
    <w:pPr>
      <w:ind w:left="720"/>
      <w:outlineLvl w:val="8"/>
    </w:pPr>
    <w:rPr>
      <w:i/>
    </w:rPr>
  </w:style>
  <w:style w:type="character" w:default="1" w:styleId="DefaultParagraphFont">
    <w:name w:val="Default Paragraph Font"/>
    <w:uiPriority w:val="1"/>
    <w:unhideWhenUsed/>
    <w:rsid w:val="006A4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699"/>
  </w:style>
  <w:style w:type="character" w:customStyle="1" w:styleId="Heading1Char">
    <w:name w:val="Heading 1 Char"/>
    <w:basedOn w:val="DefaultParagraphFont"/>
    <w:link w:val="Heading1"/>
    <w:rsid w:val="006A4699"/>
    <w:rPr>
      <w:rFonts w:ascii="Times New Roman" w:eastAsia="Times New Roman" w:hAnsi="Times New Roman" w:cs="Times New Roman"/>
      <w:b/>
      <w:sz w:val="32"/>
      <w:szCs w:val="20"/>
      <w:lang w:eastAsia="en-US"/>
    </w:rPr>
  </w:style>
  <w:style w:type="paragraph" w:styleId="BodyText">
    <w:name w:val="Body Text"/>
    <w:basedOn w:val="Normal"/>
    <w:link w:val="BodyTextChar"/>
    <w:rsid w:val="006A4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699"/>
    <w:rPr>
      <w:rFonts w:ascii="Times New Roman" w:eastAsia="Times New Roman" w:hAnsi="Times New Roman" w:cs="Times New Roman"/>
      <w:sz w:val="24"/>
      <w:lang w:eastAsia="en-US"/>
    </w:rPr>
  </w:style>
  <w:style w:type="paragraph" w:styleId="List">
    <w:name w:val="List"/>
    <w:basedOn w:val="BodyText"/>
    <w:next w:val="BodyText"/>
    <w:rsid w:val="006A4699"/>
    <w:pPr>
      <w:tabs>
        <w:tab w:val="left" w:pos="340"/>
      </w:tabs>
      <w:spacing w:before="60" w:after="60"/>
      <w:ind w:left="340" w:hanging="340"/>
    </w:pPr>
  </w:style>
  <w:style w:type="character" w:styleId="Emphasis">
    <w:name w:val="Emphasis"/>
    <w:basedOn w:val="DefaultParagraphFont"/>
    <w:qFormat/>
    <w:rsid w:val="006A4699"/>
    <w:rPr>
      <w:i/>
    </w:rPr>
  </w:style>
  <w:style w:type="paragraph" w:customStyle="1" w:styleId="SuperHeading">
    <w:name w:val="SuperHeading"/>
    <w:basedOn w:val="Normal"/>
    <w:rsid w:val="006A4699"/>
    <w:pPr>
      <w:spacing w:before="240" w:after="120"/>
      <w:outlineLvl w:val="0"/>
    </w:pPr>
    <w:rPr>
      <w:rFonts w:ascii="Times New Roman" w:hAnsi="Times New Roman"/>
      <w:b/>
      <w:sz w:val="32"/>
    </w:rPr>
  </w:style>
  <w:style w:type="paragraph" w:customStyle="1" w:styleId="AllowPageBreak">
    <w:name w:val="AllowPageBreak"/>
    <w:rsid w:val="006A4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4699"/>
    <w:pPr>
      <w:tabs>
        <w:tab w:val="left" w:pos="680"/>
      </w:tabs>
      <w:spacing w:before="60" w:after="60"/>
      <w:ind w:left="680" w:hanging="340"/>
    </w:pPr>
  </w:style>
  <w:style w:type="character" w:customStyle="1" w:styleId="Heading2Char">
    <w:name w:val="Heading 2 Char"/>
    <w:basedOn w:val="DefaultParagraphFont"/>
    <w:link w:val="Heading2"/>
    <w:rsid w:val="006A4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699"/>
    <w:rPr>
      <w:rFonts w:ascii="Courier New" w:eastAsia="Times New Roman" w:hAnsi="Courier New" w:cs="Times New Roman"/>
      <w:i/>
      <w:szCs w:val="20"/>
      <w:lang w:eastAsia="en-US"/>
    </w:rPr>
  </w:style>
  <w:style w:type="paragraph" w:customStyle="1" w:styleId="HeadingBase">
    <w:name w:val="Heading Base"/>
    <w:rsid w:val="006A4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699"/>
    <w:pPr>
      <w:tabs>
        <w:tab w:val="right" w:leader="dot" w:pos="9072"/>
      </w:tabs>
      <w:ind w:left="567"/>
    </w:pPr>
    <w:rPr>
      <w:szCs w:val="22"/>
    </w:rPr>
  </w:style>
  <w:style w:type="paragraph" w:customStyle="1" w:styleId="TOCBase">
    <w:name w:val="TOC Base"/>
    <w:rsid w:val="006A4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699"/>
    <w:pPr>
      <w:tabs>
        <w:tab w:val="right" w:leader="dot" w:pos="9072"/>
      </w:tabs>
      <w:spacing w:before="40" w:after="40"/>
      <w:ind w:left="284"/>
    </w:pPr>
    <w:rPr>
      <w:rFonts w:ascii="Times New Roman" w:hAnsi="Times New Roman"/>
    </w:rPr>
  </w:style>
  <w:style w:type="paragraph" w:styleId="TOC1">
    <w:name w:val="toc 1"/>
    <w:basedOn w:val="TOCBase"/>
    <w:next w:val="Normal"/>
    <w:rsid w:val="006A4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699"/>
    <w:rPr>
      <w:rFonts w:ascii="Times New Roman" w:eastAsia="Times New Roman" w:hAnsi="Times New Roman" w:cs="Times New Roman"/>
      <w:sz w:val="16"/>
      <w:lang w:eastAsia="en-US"/>
    </w:rPr>
  </w:style>
  <w:style w:type="paragraph" w:styleId="Title">
    <w:name w:val="Title"/>
    <w:basedOn w:val="HeadingBase"/>
    <w:link w:val="TitleChar"/>
    <w:qFormat/>
    <w:rsid w:val="006A4699"/>
    <w:pPr>
      <w:spacing w:before="5040"/>
      <w:jc w:val="center"/>
    </w:pPr>
    <w:rPr>
      <w:sz w:val="48"/>
      <w:szCs w:val="72"/>
      <w:lang w:val="en-US"/>
    </w:rPr>
  </w:style>
  <w:style w:type="character" w:customStyle="1" w:styleId="TitleChar">
    <w:name w:val="Title Char"/>
    <w:basedOn w:val="DefaultParagraphFont"/>
    <w:link w:val="Title"/>
    <w:rsid w:val="006A4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699"/>
    <w:pPr>
      <w:tabs>
        <w:tab w:val="left" w:pos="3600"/>
        <w:tab w:val="left" w:pos="3958"/>
      </w:tabs>
    </w:pPr>
  </w:style>
  <w:style w:type="paragraph" w:styleId="ListBullet">
    <w:name w:val="List Bullet"/>
    <w:basedOn w:val="List"/>
    <w:rsid w:val="006A4699"/>
    <w:pPr>
      <w:numPr>
        <w:numId w:val="10"/>
      </w:numPr>
      <w:tabs>
        <w:tab w:val="clear" w:pos="340"/>
      </w:tabs>
      <w:spacing w:before="40" w:after="40"/>
    </w:pPr>
  </w:style>
  <w:style w:type="paragraph" w:customStyle="1" w:styleId="Note">
    <w:name w:val="Note"/>
    <w:basedOn w:val="BodyText"/>
    <w:rsid w:val="006A46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4699"/>
    <w:rPr>
      <w:b/>
      <w:spacing w:val="0"/>
    </w:rPr>
  </w:style>
  <w:style w:type="paragraph" w:customStyle="1" w:styleId="SuperTitle">
    <w:name w:val="SuperTitle"/>
    <w:basedOn w:val="Title"/>
    <w:rsid w:val="006A4699"/>
    <w:pPr>
      <w:framePr w:wrap="auto" w:hAnchor="text" w:y="6049"/>
    </w:pPr>
    <w:rPr>
      <w:color w:val="000000"/>
      <w:sz w:val="40"/>
    </w:rPr>
  </w:style>
  <w:style w:type="paragraph" w:customStyle="1" w:styleId="TOCTitle">
    <w:name w:val="TOCTitle"/>
    <w:basedOn w:val="Heading1"/>
    <w:rsid w:val="006A4699"/>
    <w:pPr>
      <w:spacing w:after="240"/>
      <w:jc w:val="center"/>
      <w:outlineLvl w:val="9"/>
    </w:pPr>
    <w:rPr>
      <w:caps/>
    </w:rPr>
  </w:style>
  <w:style w:type="paragraph" w:customStyle="1" w:styleId="Version">
    <w:name w:val="Version"/>
    <w:rsid w:val="006A4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699"/>
    <w:pPr>
      <w:numPr>
        <w:numId w:val="11"/>
      </w:numPr>
      <w:tabs>
        <w:tab w:val="clear" w:pos="680"/>
      </w:tabs>
    </w:pPr>
  </w:style>
  <w:style w:type="paragraph" w:styleId="Index1">
    <w:name w:val="index 1"/>
    <w:basedOn w:val="Normal"/>
    <w:next w:val="Normal"/>
    <w:semiHidden/>
    <w:rsid w:val="006A4699"/>
    <w:pPr>
      <w:keepNext w:val="0"/>
      <w:tabs>
        <w:tab w:val="right" w:pos="4176"/>
      </w:tabs>
      <w:ind w:left="198" w:hanging="198"/>
    </w:pPr>
    <w:rPr>
      <w:rFonts w:ascii="Garamond" w:hAnsi="Garamond"/>
    </w:rPr>
  </w:style>
  <w:style w:type="paragraph" w:styleId="IndexHeading">
    <w:name w:val="index heading"/>
    <w:basedOn w:val="Normal"/>
    <w:next w:val="Index1"/>
    <w:semiHidden/>
    <w:rsid w:val="006A4699"/>
    <w:pPr>
      <w:spacing w:before="120" w:after="120"/>
    </w:pPr>
    <w:rPr>
      <w:rFonts w:ascii="Arial" w:hAnsi="Arial"/>
      <w:b/>
      <w:color w:val="918585"/>
      <w:sz w:val="24"/>
    </w:rPr>
  </w:style>
  <w:style w:type="paragraph" w:styleId="Header">
    <w:name w:val="header"/>
    <w:basedOn w:val="Normal"/>
    <w:link w:val="HeaderChar"/>
    <w:rsid w:val="006A4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699"/>
    <w:rPr>
      <w:rFonts w:ascii="Times New Roman" w:eastAsia="Times New Roman" w:hAnsi="Times New Roman" w:cs="Times New Roman"/>
      <w:sz w:val="16"/>
      <w:szCs w:val="20"/>
      <w:lang w:val="en-GB" w:eastAsia="en-US"/>
    </w:rPr>
  </w:style>
  <w:style w:type="paragraph" w:customStyle="1" w:styleId="Chapter">
    <w:name w:val="Chapter"/>
    <w:basedOn w:val="Normal"/>
    <w:rsid w:val="006A4699"/>
    <w:pPr>
      <w:spacing w:before="240"/>
    </w:pPr>
    <w:rPr>
      <w:rFonts w:ascii="Times New Roman" w:hAnsi="Times New Roman"/>
      <w:smallCaps/>
      <w:spacing w:val="80"/>
      <w:sz w:val="28"/>
    </w:rPr>
  </w:style>
  <w:style w:type="paragraph" w:customStyle="1" w:styleId="InChapter">
    <w:name w:val="InChapter"/>
    <w:basedOn w:val="Heading3"/>
    <w:rsid w:val="006A4699"/>
    <w:pPr>
      <w:spacing w:after="240"/>
      <w:outlineLvl w:val="9"/>
    </w:pPr>
    <w:rPr>
      <w:noProof/>
    </w:rPr>
  </w:style>
  <w:style w:type="paragraph" w:styleId="Index2">
    <w:name w:val="index 2"/>
    <w:basedOn w:val="Normal"/>
    <w:next w:val="Normal"/>
    <w:semiHidden/>
    <w:rsid w:val="006A4699"/>
    <w:pPr>
      <w:tabs>
        <w:tab w:val="right" w:pos="4176"/>
      </w:tabs>
      <w:ind w:left="568" w:hanging="284"/>
    </w:pPr>
    <w:rPr>
      <w:rFonts w:ascii="Garamond" w:hAnsi="Garamond"/>
    </w:rPr>
  </w:style>
  <w:style w:type="paragraph" w:customStyle="1" w:styleId="Byline">
    <w:name w:val="Byline"/>
    <w:rsid w:val="006A4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699"/>
    <w:pPr>
      <w:tabs>
        <w:tab w:val="clear" w:pos="3600"/>
        <w:tab w:val="clear" w:pos="3958"/>
      </w:tabs>
      <w:jc w:val="right"/>
    </w:pPr>
  </w:style>
  <w:style w:type="paragraph" w:styleId="Caption">
    <w:name w:val="caption"/>
    <w:basedOn w:val="BodyText"/>
    <w:next w:val="Normal"/>
    <w:qFormat/>
    <w:rsid w:val="006A4699"/>
    <w:pPr>
      <w:framePr w:w="2268" w:hSpace="181" w:vSpace="181" w:wrap="around" w:vAnchor="text" w:hAnchor="page" w:x="1135" w:y="285" w:anchorLock="1"/>
    </w:pPr>
    <w:rPr>
      <w:i/>
    </w:rPr>
  </w:style>
  <w:style w:type="paragraph" w:customStyle="1" w:styleId="MiniTOCTitle">
    <w:name w:val="MiniTOCTitle"/>
    <w:basedOn w:val="Heading4"/>
    <w:rsid w:val="006A4699"/>
    <w:pPr>
      <w:spacing w:before="240"/>
      <w:outlineLvl w:val="9"/>
    </w:pPr>
    <w:rPr>
      <w:noProof/>
      <w:sz w:val="24"/>
    </w:rPr>
  </w:style>
  <w:style w:type="paragraph" w:customStyle="1" w:styleId="MiniTOCItem">
    <w:name w:val="MiniTOCItem"/>
    <w:basedOn w:val="ListBullet"/>
    <w:rsid w:val="006A4699"/>
    <w:pPr>
      <w:numPr>
        <w:numId w:val="0"/>
      </w:numPr>
      <w:tabs>
        <w:tab w:val="right" w:leader="dot" w:pos="6521"/>
      </w:tabs>
      <w:spacing w:before="0" w:after="0"/>
    </w:pPr>
  </w:style>
  <w:style w:type="paragraph" w:customStyle="1" w:styleId="TOFTitle">
    <w:name w:val="TOFTitle"/>
    <w:basedOn w:val="TOCTitle"/>
    <w:rsid w:val="006A4699"/>
  </w:style>
  <w:style w:type="paragraph" w:styleId="TableofFigures">
    <w:name w:val="table of figures"/>
    <w:basedOn w:val="Normal"/>
    <w:next w:val="Normal"/>
    <w:semiHidden/>
    <w:rsid w:val="006A4699"/>
    <w:pPr>
      <w:tabs>
        <w:tab w:val="right" w:leader="dot" w:pos="9072"/>
      </w:tabs>
      <w:ind w:left="970" w:hanging="403"/>
    </w:pPr>
    <w:rPr>
      <w:rFonts w:ascii="Times New Roman" w:hAnsi="Times New Roman"/>
      <w:b/>
    </w:rPr>
  </w:style>
  <w:style w:type="paragraph" w:styleId="ListNumber">
    <w:name w:val="List Number"/>
    <w:basedOn w:val="List"/>
    <w:rsid w:val="006A4699"/>
    <w:pPr>
      <w:numPr>
        <w:numId w:val="13"/>
      </w:numPr>
      <w:tabs>
        <w:tab w:val="clear" w:pos="340"/>
      </w:tabs>
    </w:pPr>
  </w:style>
  <w:style w:type="character" w:customStyle="1" w:styleId="WingdingSymbols">
    <w:name w:val="Wingding Symbols"/>
    <w:rsid w:val="006A4699"/>
    <w:rPr>
      <w:rFonts w:ascii="Wingdings" w:hAnsi="Wingdings"/>
    </w:rPr>
  </w:style>
  <w:style w:type="paragraph" w:customStyle="1" w:styleId="TableHeading">
    <w:name w:val="Table Heading"/>
    <w:basedOn w:val="HeadingBase"/>
    <w:rsid w:val="006A4699"/>
    <w:pPr>
      <w:keepLines/>
      <w:pBdr>
        <w:bottom w:val="single" w:sz="6" w:space="1" w:color="918585"/>
      </w:pBdr>
      <w:spacing w:before="240"/>
    </w:pPr>
  </w:style>
  <w:style w:type="character" w:customStyle="1" w:styleId="HotSpot">
    <w:name w:val="HotSpot"/>
    <w:rsid w:val="006A4699"/>
    <w:rPr>
      <w:color w:val="0033CC"/>
      <w:u w:val="none"/>
    </w:rPr>
  </w:style>
  <w:style w:type="paragraph" w:customStyle="1" w:styleId="BodyTextRight">
    <w:name w:val="Body Text Right"/>
    <w:basedOn w:val="BodyText"/>
    <w:rsid w:val="006A4699"/>
    <w:pPr>
      <w:spacing w:before="0" w:after="0"/>
      <w:jc w:val="right"/>
    </w:pPr>
  </w:style>
  <w:style w:type="paragraph" w:styleId="Index3">
    <w:name w:val="index 3"/>
    <w:basedOn w:val="ListNumber2"/>
    <w:next w:val="Normal"/>
    <w:semiHidden/>
    <w:rsid w:val="006A4699"/>
    <w:pPr>
      <w:numPr>
        <w:numId w:val="0"/>
      </w:numPr>
      <w:tabs>
        <w:tab w:val="right" w:leader="dot" w:pos="4176"/>
      </w:tabs>
    </w:pPr>
  </w:style>
  <w:style w:type="paragraph" w:styleId="ListNumber2">
    <w:name w:val="List Number 2"/>
    <w:basedOn w:val="List2"/>
    <w:rsid w:val="006A4699"/>
    <w:pPr>
      <w:numPr>
        <w:numId w:val="8"/>
      </w:numPr>
      <w:tabs>
        <w:tab w:val="clear" w:pos="1060"/>
      </w:tabs>
    </w:pPr>
  </w:style>
  <w:style w:type="paragraph" w:customStyle="1" w:styleId="MarginNote">
    <w:name w:val="Margin Note"/>
    <w:basedOn w:val="BodyText"/>
    <w:rsid w:val="006A4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699"/>
    <w:rPr>
      <w:sz w:val="32"/>
    </w:rPr>
  </w:style>
  <w:style w:type="paragraph" w:customStyle="1" w:styleId="HeadingProcedure">
    <w:name w:val="Heading Procedure"/>
    <w:basedOn w:val="HeadingBase"/>
    <w:next w:val="Normal"/>
    <w:rsid w:val="006A4699"/>
    <w:pPr>
      <w:tabs>
        <w:tab w:val="left" w:pos="0"/>
      </w:tabs>
      <w:spacing w:before="120" w:after="60"/>
    </w:pPr>
    <w:rPr>
      <w:i/>
      <w:color w:val="918585"/>
      <w:sz w:val="22"/>
    </w:rPr>
  </w:style>
  <w:style w:type="paragraph" w:customStyle="1" w:styleId="TableBodyText">
    <w:name w:val="Table Body Text"/>
    <w:basedOn w:val="BodyText"/>
    <w:rsid w:val="006A4699"/>
    <w:pPr>
      <w:spacing w:before="60" w:after="60"/>
    </w:pPr>
  </w:style>
  <w:style w:type="paragraph" w:styleId="ListContinue">
    <w:name w:val="List Continue"/>
    <w:basedOn w:val="List"/>
    <w:rsid w:val="006A4699"/>
    <w:pPr>
      <w:ind w:firstLine="0"/>
    </w:pPr>
  </w:style>
  <w:style w:type="paragraph" w:customStyle="1" w:styleId="ListNote">
    <w:name w:val="List Note"/>
    <w:basedOn w:val="List"/>
    <w:rsid w:val="006A4699"/>
    <w:pPr>
      <w:pBdr>
        <w:top w:val="single" w:sz="6" w:space="2" w:color="918585"/>
        <w:bottom w:val="single" w:sz="6" w:space="2" w:color="918585"/>
      </w:pBdr>
      <w:tabs>
        <w:tab w:val="left" w:pos="1021"/>
      </w:tabs>
      <w:ind w:firstLine="0"/>
    </w:pPr>
  </w:style>
  <w:style w:type="paragraph" w:customStyle="1" w:styleId="Warning">
    <w:name w:val="Warning"/>
    <w:basedOn w:val="BodyText"/>
    <w:rsid w:val="006A4699"/>
    <w:pPr>
      <w:shd w:val="clear" w:color="auto" w:fill="D9D9D9"/>
      <w:tabs>
        <w:tab w:val="left" w:pos="992"/>
      </w:tabs>
      <w:ind w:left="119" w:right="119"/>
    </w:pPr>
    <w:rPr>
      <w:sz w:val="20"/>
    </w:rPr>
  </w:style>
  <w:style w:type="paragraph" w:customStyle="1" w:styleId="MarginIcons">
    <w:name w:val="Margin Icons"/>
    <w:basedOn w:val="BodyText"/>
    <w:rsid w:val="006A4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699"/>
    <w:rPr>
      <w:rFonts w:ascii="Courier New" w:hAnsi="Courier New"/>
    </w:rPr>
  </w:style>
  <w:style w:type="paragraph" w:customStyle="1" w:styleId="NoteBullet">
    <w:name w:val="Note Bullet"/>
    <w:basedOn w:val="Note"/>
    <w:rsid w:val="006A4699"/>
    <w:pPr>
      <w:tabs>
        <w:tab w:val="clear" w:pos="680"/>
      </w:tabs>
      <w:spacing w:before="60" w:after="60"/>
    </w:pPr>
  </w:style>
  <w:style w:type="paragraph" w:customStyle="1" w:styleId="SubHeading2">
    <w:name w:val="SubHeading2"/>
    <w:basedOn w:val="HeadingBase"/>
    <w:rsid w:val="006A4699"/>
    <w:pPr>
      <w:spacing w:before="240" w:after="60"/>
    </w:pPr>
    <w:rPr>
      <w:sz w:val="20"/>
    </w:rPr>
  </w:style>
  <w:style w:type="paragraph" w:customStyle="1" w:styleId="SubHeading1">
    <w:name w:val="SubHeading1"/>
    <w:basedOn w:val="HeadingBase"/>
    <w:rsid w:val="006A4699"/>
    <w:pPr>
      <w:spacing w:before="240" w:after="60"/>
    </w:pPr>
    <w:rPr>
      <w:color w:val="918585"/>
      <w:sz w:val="22"/>
    </w:rPr>
  </w:style>
  <w:style w:type="paragraph" w:customStyle="1" w:styleId="SideHeading">
    <w:name w:val="Side Heading"/>
    <w:basedOn w:val="HeadingBase"/>
    <w:rsid w:val="006A4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699"/>
    <w:pPr>
      <w:numPr>
        <w:numId w:val="9"/>
      </w:numPr>
    </w:pPr>
  </w:style>
  <w:style w:type="paragraph" w:styleId="PlainText">
    <w:name w:val="Plain Text"/>
    <w:basedOn w:val="Normal"/>
    <w:link w:val="PlainTextChar"/>
    <w:rsid w:val="006A4699"/>
    <w:rPr>
      <w:sz w:val="20"/>
    </w:rPr>
  </w:style>
  <w:style w:type="character" w:customStyle="1" w:styleId="PlainTextChar">
    <w:name w:val="Plain Text Char"/>
    <w:basedOn w:val="DefaultParagraphFont"/>
    <w:link w:val="PlainText"/>
    <w:rsid w:val="006A4699"/>
    <w:rPr>
      <w:rFonts w:ascii="Courier New" w:eastAsia="Times New Roman" w:hAnsi="Courier New" w:cs="Times New Roman"/>
      <w:sz w:val="20"/>
      <w:szCs w:val="20"/>
      <w:lang w:eastAsia="en-US"/>
    </w:rPr>
  </w:style>
  <w:style w:type="character" w:customStyle="1" w:styleId="MenuOption">
    <w:name w:val="Menu Option"/>
    <w:basedOn w:val="DefaultParagraphFont"/>
    <w:rsid w:val="006A4699"/>
    <w:rPr>
      <w:b/>
      <w:smallCaps/>
    </w:rPr>
  </w:style>
  <w:style w:type="paragraph" w:customStyle="1" w:styleId="TableListNumber">
    <w:name w:val="Table List Number"/>
    <w:basedOn w:val="ListNumber"/>
    <w:rsid w:val="006A4699"/>
    <w:pPr>
      <w:numPr>
        <w:numId w:val="0"/>
      </w:numPr>
    </w:pPr>
  </w:style>
  <w:style w:type="paragraph" w:styleId="TOC4">
    <w:name w:val="toc 4"/>
    <w:basedOn w:val="TOCBase"/>
    <w:next w:val="Normal"/>
    <w:semiHidden/>
    <w:rsid w:val="006A4699"/>
    <w:pPr>
      <w:tabs>
        <w:tab w:val="right" w:leader="dot" w:pos="9071"/>
      </w:tabs>
      <w:ind w:left="1701"/>
    </w:pPr>
  </w:style>
  <w:style w:type="paragraph" w:customStyle="1" w:styleId="ListAlpha">
    <w:name w:val="List Alpha"/>
    <w:basedOn w:val="List"/>
    <w:rsid w:val="006A4699"/>
    <w:pPr>
      <w:numPr>
        <w:numId w:val="7"/>
      </w:numPr>
    </w:pPr>
  </w:style>
  <w:style w:type="paragraph" w:customStyle="1" w:styleId="ListAlpha2">
    <w:name w:val="List Alpha 2"/>
    <w:basedOn w:val="List2"/>
    <w:rsid w:val="006A4699"/>
    <w:pPr>
      <w:numPr>
        <w:numId w:val="6"/>
      </w:numPr>
    </w:pPr>
  </w:style>
  <w:style w:type="paragraph" w:styleId="List3">
    <w:name w:val="List 3"/>
    <w:basedOn w:val="BodyText"/>
    <w:rsid w:val="006A4699"/>
    <w:pPr>
      <w:tabs>
        <w:tab w:val="left" w:pos="1021"/>
      </w:tabs>
      <w:spacing w:before="60" w:after="60"/>
      <w:ind w:left="1020" w:hanging="340"/>
    </w:pPr>
  </w:style>
  <w:style w:type="paragraph" w:styleId="List4">
    <w:name w:val="List 4"/>
    <w:basedOn w:val="BodyText"/>
    <w:rsid w:val="006A4699"/>
    <w:pPr>
      <w:tabs>
        <w:tab w:val="left" w:pos="1361"/>
      </w:tabs>
      <w:spacing w:before="60" w:after="60"/>
      <w:ind w:left="1361" w:hanging="340"/>
    </w:pPr>
  </w:style>
  <w:style w:type="paragraph" w:styleId="List5">
    <w:name w:val="List 5"/>
    <w:basedOn w:val="BodyText"/>
    <w:rsid w:val="006A4699"/>
    <w:pPr>
      <w:tabs>
        <w:tab w:val="left" w:pos="1701"/>
      </w:tabs>
      <w:spacing w:before="60" w:after="60"/>
      <w:ind w:left="1701" w:hanging="340"/>
    </w:pPr>
  </w:style>
  <w:style w:type="paragraph" w:styleId="ListBullet3">
    <w:name w:val="List Bullet 3"/>
    <w:basedOn w:val="List3"/>
    <w:rsid w:val="006A4699"/>
    <w:pPr>
      <w:numPr>
        <w:numId w:val="12"/>
      </w:numPr>
      <w:tabs>
        <w:tab w:val="clear" w:pos="1021"/>
      </w:tabs>
      <w:ind w:left="1037" w:hanging="357"/>
    </w:pPr>
  </w:style>
  <w:style w:type="paragraph" w:styleId="ListBullet4">
    <w:name w:val="List Bullet 4"/>
    <w:basedOn w:val="List4"/>
    <w:rsid w:val="006A4699"/>
    <w:pPr>
      <w:numPr>
        <w:numId w:val="1"/>
      </w:numPr>
      <w:tabs>
        <w:tab w:val="clear" w:pos="1361"/>
      </w:tabs>
    </w:pPr>
  </w:style>
  <w:style w:type="paragraph" w:styleId="ListBullet5">
    <w:name w:val="List Bullet 5"/>
    <w:basedOn w:val="List5"/>
    <w:rsid w:val="006A4699"/>
    <w:pPr>
      <w:numPr>
        <w:numId w:val="2"/>
      </w:numPr>
    </w:pPr>
  </w:style>
  <w:style w:type="paragraph" w:styleId="ListContinue2">
    <w:name w:val="List Continue 2"/>
    <w:basedOn w:val="List2"/>
    <w:rsid w:val="006A4699"/>
    <w:pPr>
      <w:ind w:firstLine="0"/>
    </w:pPr>
  </w:style>
  <w:style w:type="paragraph" w:styleId="ListContinue3">
    <w:name w:val="List Continue 3"/>
    <w:basedOn w:val="List3"/>
    <w:rsid w:val="006A4699"/>
    <w:pPr>
      <w:ind w:left="1021" w:firstLine="0"/>
    </w:pPr>
  </w:style>
  <w:style w:type="paragraph" w:styleId="ListContinue4">
    <w:name w:val="List Continue 4"/>
    <w:basedOn w:val="List4"/>
    <w:rsid w:val="006A4699"/>
    <w:pPr>
      <w:ind w:firstLine="0"/>
    </w:pPr>
  </w:style>
  <w:style w:type="paragraph" w:styleId="ListContinue5">
    <w:name w:val="List Continue 5"/>
    <w:basedOn w:val="List5"/>
    <w:rsid w:val="006A4699"/>
    <w:pPr>
      <w:ind w:firstLine="0"/>
    </w:pPr>
  </w:style>
  <w:style w:type="paragraph" w:styleId="ListNumber3">
    <w:name w:val="List Number 3"/>
    <w:basedOn w:val="List3"/>
    <w:rsid w:val="006A4699"/>
    <w:pPr>
      <w:numPr>
        <w:numId w:val="3"/>
      </w:numPr>
    </w:pPr>
  </w:style>
  <w:style w:type="paragraph" w:styleId="ListNumber4">
    <w:name w:val="List Number 4"/>
    <w:basedOn w:val="List4"/>
    <w:rsid w:val="006A4699"/>
    <w:pPr>
      <w:numPr>
        <w:numId w:val="4"/>
      </w:numPr>
    </w:pPr>
  </w:style>
  <w:style w:type="paragraph" w:styleId="ListNumber5">
    <w:name w:val="List Number 5"/>
    <w:basedOn w:val="List5"/>
    <w:rsid w:val="006A4699"/>
    <w:pPr>
      <w:numPr>
        <w:numId w:val="5"/>
      </w:numPr>
    </w:pPr>
  </w:style>
  <w:style w:type="paragraph" w:styleId="BlockText">
    <w:name w:val="Block Text"/>
    <w:basedOn w:val="Normal"/>
    <w:rsid w:val="006A4699"/>
    <w:pPr>
      <w:spacing w:after="120"/>
      <w:ind w:left="1440" w:right="1440"/>
    </w:pPr>
  </w:style>
  <w:style w:type="character" w:customStyle="1" w:styleId="Subscript">
    <w:name w:val="Subscript"/>
    <w:basedOn w:val="DefaultParagraphFont"/>
    <w:rsid w:val="006A4699"/>
    <w:rPr>
      <w:sz w:val="16"/>
      <w:vertAlign w:val="subscript"/>
    </w:rPr>
  </w:style>
  <w:style w:type="character" w:customStyle="1" w:styleId="Superscript">
    <w:name w:val="Superscript"/>
    <w:basedOn w:val="DefaultParagraphFont"/>
    <w:rsid w:val="006A4699"/>
    <w:rPr>
      <w:sz w:val="16"/>
      <w:vertAlign w:val="superscript"/>
    </w:rPr>
  </w:style>
  <w:style w:type="character" w:customStyle="1" w:styleId="Symbols">
    <w:name w:val="Symbols"/>
    <w:basedOn w:val="DefaultParagraphFont"/>
    <w:rsid w:val="006A4699"/>
    <w:rPr>
      <w:rFonts w:ascii="Symbol" w:hAnsi="Symbol"/>
    </w:rPr>
  </w:style>
  <w:style w:type="character" w:customStyle="1" w:styleId="MenuOptions">
    <w:name w:val="Menu Options"/>
    <w:basedOn w:val="DefaultParagraphFont"/>
    <w:rsid w:val="006A4699"/>
    <w:rPr>
      <w:rFonts w:ascii="Arial Narrow" w:hAnsi="Arial Narrow"/>
      <w:smallCaps/>
    </w:rPr>
  </w:style>
  <w:style w:type="character" w:customStyle="1" w:styleId="Buttons">
    <w:name w:val="Buttons"/>
    <w:basedOn w:val="DefaultParagraphFont"/>
    <w:rsid w:val="006A4699"/>
    <w:rPr>
      <w:b/>
    </w:rPr>
  </w:style>
  <w:style w:type="character" w:customStyle="1" w:styleId="Underlined">
    <w:name w:val="Underlined"/>
    <w:basedOn w:val="DefaultParagraphFont"/>
    <w:rsid w:val="006A4699"/>
    <w:rPr>
      <w:u w:val="single"/>
    </w:rPr>
  </w:style>
  <w:style w:type="paragraph" w:customStyle="1" w:styleId="TableBodyTextRight">
    <w:name w:val="Table Body Text Right"/>
    <w:basedOn w:val="TableBodyText"/>
    <w:rsid w:val="006A4699"/>
    <w:pPr>
      <w:widowControl w:val="0"/>
      <w:autoSpaceDE w:val="0"/>
      <w:autoSpaceDN w:val="0"/>
      <w:adjustRightInd w:val="0"/>
      <w:jc w:val="right"/>
    </w:pPr>
    <w:rPr>
      <w:rFonts w:cs="Arial"/>
      <w:szCs w:val="18"/>
    </w:rPr>
  </w:style>
  <w:style w:type="paragraph" w:customStyle="1" w:styleId="CopyrightText">
    <w:name w:val="Copyright Text"/>
    <w:basedOn w:val="BodyText"/>
    <w:rsid w:val="006A4699"/>
    <w:rPr>
      <w:sz w:val="18"/>
    </w:rPr>
  </w:style>
  <w:style w:type="paragraph" w:customStyle="1" w:styleId="BodySmallRight">
    <w:name w:val="Body Small Right"/>
    <w:basedOn w:val="BodyTextRight"/>
    <w:rsid w:val="006A4699"/>
    <w:rPr>
      <w:sz w:val="18"/>
      <w:szCs w:val="18"/>
    </w:rPr>
  </w:style>
  <w:style w:type="paragraph" w:customStyle="1" w:styleId="MarginEdition">
    <w:name w:val="Margin Edition"/>
    <w:basedOn w:val="MarginNote"/>
    <w:rsid w:val="006A4699"/>
    <w:pPr>
      <w:spacing w:before="0" w:after="0"/>
    </w:pPr>
    <w:rPr>
      <w:rFonts w:ascii="Times New Roman" w:hAnsi="Times New Roman"/>
      <w:color w:val="999999"/>
    </w:rPr>
  </w:style>
  <w:style w:type="paragraph" w:customStyle="1" w:styleId="Spacer">
    <w:name w:val="Spacer"/>
    <w:basedOn w:val="Normal"/>
    <w:rsid w:val="006A4699"/>
    <w:rPr>
      <w:sz w:val="2"/>
      <w:szCs w:val="2"/>
    </w:rPr>
  </w:style>
  <w:style w:type="character" w:customStyle="1" w:styleId="Small">
    <w:name w:val="Small"/>
    <w:basedOn w:val="DefaultParagraphFont"/>
    <w:rsid w:val="006A4699"/>
    <w:rPr>
      <w:sz w:val="16"/>
    </w:rPr>
  </w:style>
  <w:style w:type="paragraph" w:customStyle="1" w:styleId="WideTable">
    <w:name w:val="Wide Table"/>
    <w:basedOn w:val="Normal"/>
    <w:rsid w:val="006A4699"/>
    <w:pPr>
      <w:ind w:left="-1418"/>
    </w:pPr>
    <w:rPr>
      <w:sz w:val="2"/>
      <w:szCs w:val="2"/>
    </w:rPr>
  </w:style>
  <w:style w:type="character" w:styleId="PageNumber">
    <w:name w:val="page number"/>
    <w:basedOn w:val="DefaultParagraphFont"/>
    <w:rsid w:val="006A4699"/>
  </w:style>
  <w:style w:type="paragraph" w:styleId="Quote">
    <w:name w:val="Quote"/>
    <w:basedOn w:val="Heading1"/>
    <w:link w:val="QuoteChar"/>
    <w:qFormat/>
    <w:rsid w:val="006A4699"/>
    <w:rPr>
      <w:b w:val="0"/>
      <w:sz w:val="72"/>
      <w:szCs w:val="72"/>
      <w:lang w:val="en-NZ"/>
    </w:rPr>
  </w:style>
  <w:style w:type="character" w:customStyle="1" w:styleId="QuoteChar">
    <w:name w:val="Quote Char"/>
    <w:basedOn w:val="DefaultParagraphFont"/>
    <w:link w:val="Quote"/>
    <w:rsid w:val="006A4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699"/>
    <w:pPr>
      <w:pageBreakBefore/>
    </w:pPr>
  </w:style>
  <w:style w:type="paragraph" w:customStyle="1" w:styleId="Border">
    <w:name w:val="Border"/>
    <w:basedOn w:val="Normal"/>
    <w:qFormat/>
    <w:rsid w:val="006A4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699"/>
    <w:rPr>
      <w:b/>
      <w:bCs/>
      <w:i/>
      <w:iCs/>
      <w:color w:val="auto"/>
    </w:rPr>
  </w:style>
  <w:style w:type="paragraph" w:styleId="IntenseQuote">
    <w:name w:val="Intense Quote"/>
    <w:basedOn w:val="Normal"/>
    <w:next w:val="Normal"/>
    <w:link w:val="IntenseQuoteChar"/>
    <w:uiPriority w:val="30"/>
    <w:qFormat/>
    <w:rsid w:val="006A4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699"/>
    <w:rPr>
      <w:smallCaps/>
      <w:color w:val="auto"/>
      <w:u w:val="single"/>
    </w:rPr>
  </w:style>
  <w:style w:type="character" w:styleId="IntenseReference">
    <w:name w:val="Intense Reference"/>
    <w:basedOn w:val="DefaultParagraphFont"/>
    <w:uiPriority w:val="32"/>
    <w:qFormat/>
    <w:rsid w:val="006A4699"/>
    <w:rPr>
      <w:b/>
      <w:bCs/>
      <w:smallCaps/>
      <w:color w:val="auto"/>
      <w:spacing w:val="5"/>
      <w:u w:val="single"/>
    </w:rPr>
  </w:style>
  <w:style w:type="paragraph" w:customStyle="1" w:styleId="2ColumnHeading">
    <w:name w:val="2Column Heading"/>
    <w:basedOn w:val="BodyText"/>
    <w:qFormat/>
    <w:rsid w:val="006A4699"/>
    <w:pPr>
      <w:spacing w:after="60"/>
      <w:ind w:left="-2268"/>
    </w:pPr>
    <w:rPr>
      <w:b/>
    </w:rPr>
  </w:style>
  <w:style w:type="paragraph" w:customStyle="1" w:styleId="Heading1TOC">
    <w:name w:val="Heading1 TOC"/>
    <w:basedOn w:val="Normal"/>
    <w:qFormat/>
    <w:rsid w:val="006A4699"/>
    <w:pPr>
      <w:spacing w:before="240" w:after="120"/>
    </w:pPr>
    <w:rPr>
      <w:rFonts w:ascii="Times New Roman" w:hAnsi="Times New Roman"/>
      <w:b/>
      <w:sz w:val="32"/>
    </w:rPr>
  </w:style>
  <w:style w:type="paragraph" w:customStyle="1" w:styleId="Heading2TOC">
    <w:name w:val="Heading2 TOC"/>
    <w:basedOn w:val="Normal"/>
    <w:qFormat/>
    <w:rsid w:val="006A4699"/>
    <w:pPr>
      <w:spacing w:before="240" w:after="60"/>
    </w:pPr>
    <w:rPr>
      <w:rFonts w:ascii="Times New Roman" w:hAnsi="Times New Roman"/>
      <w:b/>
      <w:sz w:val="28"/>
    </w:rPr>
  </w:style>
  <w:style w:type="character" w:customStyle="1" w:styleId="Underline">
    <w:name w:val="Underline"/>
    <w:basedOn w:val="DefaultParagraphFont"/>
    <w:qFormat/>
    <w:rsid w:val="006A4699"/>
    <w:rPr>
      <w:u w:val="single"/>
    </w:rPr>
  </w:style>
  <w:style w:type="character" w:customStyle="1" w:styleId="BoldandItalics">
    <w:name w:val="Bold and Italics"/>
    <w:qFormat/>
    <w:rsid w:val="006A4699"/>
    <w:rPr>
      <w:b/>
      <w:i/>
      <w:u w:val="none"/>
    </w:rPr>
  </w:style>
  <w:style w:type="paragraph" w:styleId="BalloonText">
    <w:name w:val="Balloon Text"/>
    <w:basedOn w:val="Normal"/>
    <w:link w:val="BalloonTextChar"/>
    <w:rsid w:val="006A4699"/>
    <w:rPr>
      <w:rFonts w:ascii="Tahoma" w:hAnsi="Tahoma" w:cs="Tahoma"/>
      <w:sz w:val="16"/>
      <w:szCs w:val="16"/>
    </w:rPr>
  </w:style>
  <w:style w:type="character" w:customStyle="1" w:styleId="BalloonTextChar">
    <w:name w:val="Balloon Text Char"/>
    <w:basedOn w:val="DefaultParagraphFont"/>
    <w:link w:val="BalloonText"/>
    <w:rsid w:val="006A4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699"/>
    <w:rPr>
      <w:b/>
      <w:color w:val="660033"/>
      <w:spacing w:val="0"/>
    </w:rPr>
  </w:style>
  <w:style w:type="paragraph" w:customStyle="1" w:styleId="Nameditemlist">
    <w:name w:val="Named item list"/>
    <w:basedOn w:val="BodyText"/>
    <w:qFormat/>
    <w:rsid w:val="006A4699"/>
    <w:pPr>
      <w:tabs>
        <w:tab w:val="left" w:pos="2835"/>
      </w:tabs>
      <w:ind w:left="2835" w:hanging="2835"/>
    </w:pPr>
  </w:style>
  <w:style w:type="paragraph" w:customStyle="1" w:styleId="BodyTextnopadding">
    <w:name w:val="Body Text no padding"/>
    <w:basedOn w:val="BodyText"/>
    <w:qFormat/>
    <w:rsid w:val="006A4699"/>
    <w:pPr>
      <w:spacing w:before="0" w:after="0"/>
    </w:pPr>
  </w:style>
  <w:style w:type="paragraph" w:customStyle="1" w:styleId="BodyTextBold">
    <w:name w:val="Body Text Bold"/>
    <w:basedOn w:val="BodyText"/>
    <w:qFormat/>
    <w:rsid w:val="006A4699"/>
    <w:rPr>
      <w:b/>
    </w:rPr>
  </w:style>
  <w:style w:type="character" w:styleId="Hyperlink">
    <w:name w:val="Hyperlink"/>
    <w:basedOn w:val="DefaultParagraphFont"/>
    <w:uiPriority w:val="99"/>
    <w:unhideWhenUsed/>
    <w:rsid w:val="00076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4308</Characters>
  <Application>Microsoft Office Word</Application>
  <DocSecurity>0</DocSecurity>
  <Lines>116</Lines>
  <Paragraphs>96</Paragraphs>
  <ScaleCrop>false</ScaleCrop>
  <Company>Author-it Software Corporation Ltd.</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HLTDEN010 Implement an oral hygiene program for older people</dc:title>
  <dc:subject>Approved</dc:subject>
  <dc:creator>SkillsIQ</dc:creator>
  <cp:keywords>Release: 1</cp:keywords>
  <dc:description>Review Date: 12 April 2008</dc:description>
  <cp:lastModifiedBy>HSD_TPCMSd.prod</cp:lastModifiedBy>
  <cp:revision>3</cp:revision>
  <dcterms:created xsi:type="dcterms:W3CDTF">2021-03-18T06:38:00Z</dcterms:created>
  <dcterms:modified xsi:type="dcterms:W3CDTF">2021-03-18T06:38:00Z</dcterms:modified>
</cp:coreProperties>
</file>