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493" w:rsidP="00A12493">
      <w:pPr>
        <w:pStyle w:val="Title"/>
      </w:pPr>
      <w:r>
        <w:fldChar w:fldCharType="begin"/>
      </w:r>
      <w:r>
        <w:instrText xml:space="preserve"> TITLE   \* MERGEFORMAT </w:instrText>
      </w:r>
      <w:r>
        <w:fldChar w:fldCharType="separate"/>
      </w:r>
      <w:r>
        <w:t>Assessment Requirements for HLTDEN006 Assist in oral health care procedures during conscious sedation</w:t>
      </w:r>
      <w:r>
        <w:fldChar w:fldCharType="end"/>
      </w:r>
    </w:p>
    <w:p w:rsidR="00A12493" w:rsidP="00A12493">
      <w:pPr>
        <w:pStyle w:val="Version"/>
        <w:sectPr w:rsidSect="00C653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3D6" w:rsidP="00C653D6">
      <w:pPr>
        <w:pStyle w:val="SuperHeading"/>
      </w:pPr>
      <w:r w:rsidRPr="00C653D6">
        <w:t>Assessment Requirements for HLTDEN006 Assist in oral health care procedures during conscious sedation</w:t>
      </w:r>
    </w:p>
    <w:p w:rsidR="00000000" w:rsidRPr="00C653D6" w:rsidP="00C653D6">
      <w:pPr>
        <w:pStyle w:val="Heading1"/>
      </w:pPr>
      <w:bookmarkStart w:id="1" w:name="O_819098"/>
      <w:bookmarkEnd w:id="1"/>
      <w:r w:rsidRPr="00C653D6">
        <w:t>Modification History</w:t>
      </w:r>
    </w:p>
    <w:tbl>
      <w:tblPr>
        <w:tblW w:w="0" w:type="auto"/>
        <w:tblCellMar>
          <w:left w:w="62" w:type="dxa"/>
          <w:right w:w="62" w:type="dxa"/>
        </w:tblCellMar>
        <w:tblLook w:val="0000"/>
      </w:tblPr>
      <w:tblGrid>
        <w:gridCol w:w="2147"/>
        <w:gridCol w:w="7049"/>
      </w:tblGrid>
      <w:tr w:rsidTr="00A124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3D6">
            <w:pPr>
              <w:pStyle w:val="BodyText"/>
              <w:rPr>
                <w:lang w:val="en-NZ"/>
              </w:rPr>
            </w:pPr>
            <w:r w:rsidRPr="00C653D6">
              <w:t xml:space="preserve">Release </w:t>
            </w:r>
            <w:r w:rsidRPr="00C653D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3D6">
            <w:pPr>
              <w:pStyle w:val="BodyText"/>
              <w:rPr>
                <w:lang w:val="en-NZ"/>
              </w:rPr>
            </w:pPr>
            <w:r w:rsidRPr="00C653D6">
              <w:t xml:space="preserve">Comments </w:t>
            </w:r>
          </w:p>
        </w:tc>
      </w:tr>
      <w:tr w:rsidTr="00A124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3D6">
            <w:pPr>
              <w:pStyle w:val="BodyText"/>
              <w:rPr>
                <w:lang w:val="en-NZ"/>
              </w:rPr>
            </w:pPr>
            <w:r w:rsidRPr="00C653D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3D6" w:rsidP="00C653D6">
            <w:pPr>
              <w:pStyle w:val="BodyText"/>
            </w:pPr>
            <w:r w:rsidRPr="00C653D6">
              <w:t xml:space="preserve">This version was released in </w:t>
            </w:r>
            <w:r w:rsidRPr="00C653D6">
              <w:rPr>
                <w:rStyle w:val="Emphasis"/>
              </w:rPr>
              <w:t>HLT Health Training Package release 3.0</w:t>
            </w:r>
            <w:r w:rsidRPr="00C653D6">
              <w:t xml:space="preserve"> and meets the requirements of the 2012 Standards for Training Packages.</w:t>
            </w:r>
          </w:p>
          <w:p w:rsidR="00000000" w:rsidRPr="00C653D6" w:rsidP="00C653D6">
            <w:pPr>
              <w:pStyle w:val="BodyText"/>
            </w:pPr>
            <w:r w:rsidRPr="00C653D6">
              <w:t>Significant changes to the elements and performance criteria. New evidence requirements for assessment including volume and frequency requirements. Removal of pre-requisites</w:t>
            </w:r>
          </w:p>
          <w:p w:rsidR="00000000" w:rsidRPr="00C653D6" w:rsidP="00C653D6">
            <w:pPr>
              <w:pStyle w:val="BodyText"/>
            </w:pPr>
            <w:r w:rsidRPr="00C653D6">
              <w:t>Supersede</w:t>
            </w:r>
            <w:r w:rsidRPr="00C653D6">
              <w:t>s HLTDA409D</w:t>
            </w:r>
          </w:p>
        </w:tc>
      </w:tr>
    </w:tbl>
    <w:p w:rsidR="00000000" w:rsidRPr="00C653D6" w:rsidP="00C653D6">
      <w:pPr>
        <w:pStyle w:val="BodyText"/>
      </w:pPr>
    </w:p>
    <w:p w:rsidR="00000000" w:rsidRPr="00C653D6" w:rsidP="00C653D6">
      <w:pPr>
        <w:pStyle w:val="AllowPageBreak"/>
      </w:pPr>
    </w:p>
    <w:p w:rsidR="00000000" w:rsidRPr="00C653D6" w:rsidP="00C653D6">
      <w:pPr>
        <w:pStyle w:val="Heading1"/>
      </w:pPr>
      <w:bookmarkStart w:id="2" w:name="O_819099"/>
      <w:bookmarkEnd w:id="2"/>
      <w:r w:rsidRPr="00C653D6">
        <w:t>Performance Evidence</w:t>
      </w:r>
    </w:p>
    <w:p w:rsidR="00000000" w:rsidRPr="00C653D6" w:rsidP="00A12493">
      <w:pPr>
        <w:pStyle w:val="BodyText"/>
      </w:pPr>
      <w:r w:rsidRPr="00C653D6">
        <w:t>The candidate must show evidence of the ability to complete tasks outlined in elements and performance criteria of this unit, manage tasks and manage contingencies in the context of the job role. There mu</w:t>
      </w:r>
      <w:r w:rsidRPr="00C653D6">
        <w:t>st be evidence that the candidate has:</w:t>
      </w:r>
    </w:p>
    <w:p w:rsidR="00000000" w:rsidRPr="00C653D6" w:rsidP="00C653D6">
      <w:pPr>
        <w:pStyle w:val="List"/>
      </w:pPr>
      <w:r w:rsidRPr="00C653D6">
        <w:t>•</w:t>
      </w:r>
      <w:r w:rsidRPr="00C653D6">
        <w:tab/>
        <w:t>prepared equipment and assisted in handling and correctly positioning equipment for the operator during 3 different oral health care procedures carried out under conscious sedation (oral or intravenous or intramuscu</w:t>
      </w:r>
      <w:r w:rsidRPr="00C653D6">
        <w:t>lar or inhalation) including:</w:t>
      </w:r>
    </w:p>
    <w:p w:rsidR="00000000" w:rsidRPr="00C653D6" w:rsidP="00C653D6">
      <w:pPr>
        <w:pStyle w:val="List2"/>
      </w:pPr>
      <w:r>
        <w:t>•</w:t>
      </w:r>
      <w:r>
        <w:tab/>
      </w:r>
      <w:r w:rsidRPr="00C653D6">
        <w:t>consistently applying safe work practices to ensure patient safety during conscious sedation</w:t>
      </w:r>
    </w:p>
    <w:p w:rsidR="00000000" w:rsidRPr="00C653D6" w:rsidP="00C653D6">
      <w:pPr>
        <w:pStyle w:val="List2"/>
      </w:pPr>
      <w:r>
        <w:t>•</w:t>
      </w:r>
      <w:r>
        <w:tab/>
      </w:r>
      <w:r w:rsidRPr="00C653D6">
        <w:t>correctly maintaining and storing instruments, equipment, materials and medicaments</w:t>
      </w:r>
    </w:p>
    <w:p w:rsidR="00A12493" w:rsidP="00C653D6">
      <w:pPr>
        <w:pStyle w:val="List"/>
      </w:pPr>
      <w:r w:rsidRPr="00C653D6">
        <w:t>•</w:t>
      </w:r>
      <w:r w:rsidRPr="00C653D6">
        <w:tab/>
        <w:t xml:space="preserve">supported the dental team in the discharge </w:t>
      </w:r>
      <w:r w:rsidRPr="00C653D6">
        <w:t>care of 1 patient recovering from an oral health care procedure following  conscious sedation (oral or intravenous or intramuscular or inhalation).</w:t>
      </w:r>
    </w:p>
    <w:p w:rsidR="00A12493" w:rsidP="00C653D6">
      <w:pPr>
        <w:pStyle w:val="List"/>
      </w:pPr>
    </w:p>
    <w:p w:rsidR="00000000" w:rsidRPr="00C653D6" w:rsidP="00C653D6">
      <w:pPr>
        <w:pStyle w:val="Heading1"/>
      </w:pPr>
      <w:bookmarkStart w:id="3" w:name="O_819100"/>
      <w:bookmarkEnd w:id="3"/>
      <w:r w:rsidRPr="00C653D6">
        <w:t>Knowledge Evidence</w:t>
      </w:r>
    </w:p>
    <w:p w:rsidR="00000000" w:rsidRPr="00C653D6" w:rsidP="00A12493">
      <w:pPr>
        <w:pStyle w:val="BodyText"/>
      </w:pPr>
      <w:r w:rsidRPr="00C653D6">
        <w:t>The candidate must be able to demonstrate esse</w:t>
      </w:r>
      <w:r w:rsidRPr="00C653D6">
        <w:t>ntial knowledge required to effectively to complete tasks outlined in elements and performance criteria of this unit, manage tasks and manage contingencies in the context of the work role. This includes knowledge of:</w:t>
      </w:r>
    </w:p>
    <w:p w:rsidR="00000000" w:rsidRPr="00C653D6" w:rsidP="00C653D6">
      <w:pPr>
        <w:pStyle w:val="List"/>
      </w:pPr>
      <w:r w:rsidRPr="00C653D6">
        <w:t>•</w:t>
      </w:r>
      <w:r w:rsidRPr="00C653D6">
        <w:tab/>
        <w:t>national and State/Territory legal an</w:t>
      </w:r>
      <w:r w:rsidRPr="00C653D6">
        <w:t>d ethical requirements and considerations for dental assisting work including:</w:t>
      </w:r>
    </w:p>
    <w:p w:rsidR="00000000" w:rsidRPr="00C653D6" w:rsidP="00C653D6">
      <w:pPr>
        <w:pStyle w:val="List2"/>
      </w:pPr>
      <w:r w:rsidRPr="00C653D6">
        <w:t>­</w:t>
      </w:r>
      <w:r w:rsidRPr="00C653D6">
        <w:tab/>
        <w:t>codes of practice</w:t>
      </w:r>
    </w:p>
    <w:p w:rsidR="00000000" w:rsidRPr="00C653D6" w:rsidP="00C653D6">
      <w:pPr>
        <w:pStyle w:val="List2"/>
      </w:pPr>
      <w:r w:rsidRPr="00C653D6">
        <w:t>­</w:t>
      </w:r>
      <w:r w:rsidRPr="00C653D6">
        <w:tab/>
        <w:t>discrimination</w:t>
      </w:r>
    </w:p>
    <w:p w:rsidR="00000000" w:rsidRPr="00C653D6" w:rsidP="00C653D6">
      <w:pPr>
        <w:pStyle w:val="List2"/>
      </w:pPr>
      <w:r w:rsidRPr="00C653D6">
        <w:t>­</w:t>
      </w:r>
      <w:r w:rsidRPr="00C653D6">
        <w:tab/>
        <w:t>duty of care</w:t>
      </w:r>
    </w:p>
    <w:p w:rsidR="00000000" w:rsidRPr="00C653D6" w:rsidP="00C653D6">
      <w:pPr>
        <w:pStyle w:val="List2"/>
      </w:pPr>
      <w:r>
        <w:t>•</w:t>
      </w:r>
      <w:r>
        <w:tab/>
      </w:r>
      <w:r w:rsidRPr="00C653D6">
        <w:t>informed consent and statutory requirements of consent</w:t>
      </w:r>
    </w:p>
    <w:p w:rsidR="00000000" w:rsidRPr="00C653D6" w:rsidP="00C653D6">
      <w:pPr>
        <w:pStyle w:val="List2"/>
      </w:pPr>
      <w:r w:rsidRPr="00C653D6">
        <w:t>­</w:t>
      </w:r>
      <w:r w:rsidRPr="00C653D6">
        <w:tab/>
        <w:t>practice standards – Dental Board of Australia guidelines on infec</w:t>
      </w:r>
      <w:r w:rsidRPr="00C653D6">
        <w:t xml:space="preserve">tion control </w:t>
      </w:r>
    </w:p>
    <w:p w:rsidR="00000000" w:rsidRPr="00C653D6" w:rsidP="00C653D6">
      <w:pPr>
        <w:pStyle w:val="List2"/>
      </w:pPr>
      <w:r w:rsidRPr="00C653D6">
        <w:t>­</w:t>
      </w:r>
      <w:r w:rsidRPr="00C653D6">
        <w:tab/>
        <w:t>privacy, confidentiality and disclosure</w:t>
      </w:r>
    </w:p>
    <w:p w:rsidR="00000000" w:rsidRPr="00C653D6" w:rsidP="00C653D6">
      <w:pPr>
        <w:pStyle w:val="List2"/>
      </w:pPr>
      <w:r w:rsidRPr="00C653D6">
        <w:t>­</w:t>
      </w:r>
      <w:r w:rsidRPr="00C653D6">
        <w:tab/>
        <w:t>records management</w:t>
      </w:r>
    </w:p>
    <w:p w:rsidR="00000000" w:rsidRPr="00C653D6" w:rsidP="00C653D6">
      <w:pPr>
        <w:pStyle w:val="List2"/>
      </w:pPr>
      <w:r w:rsidRPr="00C653D6">
        <w:t>­</w:t>
      </w:r>
      <w:r w:rsidRPr="00C653D6">
        <w:tab/>
        <w:t>work role boundaries – responsibilities and limitations</w:t>
      </w:r>
    </w:p>
    <w:p w:rsidR="00000000" w:rsidRPr="00C653D6" w:rsidP="00C653D6">
      <w:pPr>
        <w:pStyle w:val="List2"/>
      </w:pPr>
      <w:r w:rsidRPr="00C653D6">
        <w:t>­</w:t>
      </w:r>
      <w:r w:rsidRPr="00C653D6">
        <w:tab/>
        <w:t>work health and safety</w:t>
      </w:r>
    </w:p>
    <w:p w:rsidR="00000000" w:rsidRPr="00C653D6" w:rsidP="00C653D6">
      <w:pPr>
        <w:pStyle w:val="List"/>
      </w:pPr>
      <w:r w:rsidRPr="00C653D6">
        <w:t>•</w:t>
      </w:r>
      <w:r w:rsidRPr="00C653D6">
        <w:tab/>
        <w:t>practitioners who are authorised to administer conscious sedation to a patient, and the assess</w:t>
      </w:r>
      <w:r w:rsidRPr="00C653D6">
        <w:t>ment process required before oral health procedure is carried out</w:t>
      </w:r>
    </w:p>
    <w:p w:rsidR="00000000" w:rsidRPr="00C653D6" w:rsidP="00C653D6">
      <w:pPr>
        <w:pStyle w:val="List"/>
      </w:pPr>
      <w:r w:rsidRPr="00C653D6">
        <w:t>•</w:t>
      </w:r>
      <w:r w:rsidRPr="00C653D6">
        <w:tab/>
        <w:t>levels of consciousness</w:t>
      </w:r>
    </w:p>
    <w:p w:rsidR="00000000" w:rsidRPr="00C653D6" w:rsidP="00C653D6">
      <w:pPr>
        <w:pStyle w:val="List"/>
      </w:pPr>
      <w:r w:rsidRPr="00C653D6">
        <w:t>•</w:t>
      </w:r>
      <w:r w:rsidRPr="00C653D6">
        <w:tab/>
        <w:t>medications and drugs used in conscious sedation administered via the following routes:</w:t>
      </w:r>
    </w:p>
    <w:p w:rsidR="00000000" w:rsidRPr="00C653D6" w:rsidP="00C653D6">
      <w:pPr>
        <w:pStyle w:val="List2"/>
      </w:pPr>
      <w:r>
        <w:t>•</w:t>
      </w:r>
      <w:r>
        <w:tab/>
      </w:r>
      <w:r w:rsidRPr="00C653D6">
        <w:t>intravenous</w:t>
      </w:r>
    </w:p>
    <w:p w:rsidR="00000000" w:rsidRPr="00C653D6" w:rsidP="00C653D6">
      <w:pPr>
        <w:pStyle w:val="List2"/>
      </w:pPr>
      <w:r>
        <w:t>•</w:t>
      </w:r>
      <w:r>
        <w:tab/>
      </w:r>
      <w:r w:rsidRPr="00C653D6">
        <w:t>oral</w:t>
      </w:r>
    </w:p>
    <w:p w:rsidR="00000000" w:rsidRPr="00C653D6" w:rsidP="00C653D6">
      <w:pPr>
        <w:pStyle w:val="List2"/>
      </w:pPr>
      <w:r>
        <w:t>•</w:t>
      </w:r>
      <w:r>
        <w:tab/>
      </w:r>
      <w:r w:rsidRPr="00C653D6">
        <w:t>inhalation</w:t>
      </w:r>
    </w:p>
    <w:p w:rsidR="00000000" w:rsidRPr="00C653D6" w:rsidP="00C653D6">
      <w:pPr>
        <w:pStyle w:val="List2"/>
      </w:pPr>
      <w:r>
        <w:t>•</w:t>
      </w:r>
      <w:r>
        <w:tab/>
      </w:r>
      <w:r w:rsidRPr="00C653D6">
        <w:t>intramuscular injection</w:t>
      </w:r>
    </w:p>
    <w:p w:rsidR="00000000" w:rsidRPr="00C653D6" w:rsidP="00C653D6">
      <w:pPr>
        <w:pStyle w:val="List"/>
      </w:pPr>
      <w:r w:rsidRPr="00C653D6">
        <w:t>•</w:t>
      </w:r>
      <w:r w:rsidRPr="00C653D6">
        <w:tab/>
        <w:t xml:space="preserve">medications </w:t>
      </w:r>
      <w:r w:rsidRPr="00C653D6">
        <w:t>used to anaesthetise the site for sedation via intravenous route</w:t>
      </w:r>
    </w:p>
    <w:p w:rsidR="00000000" w:rsidRPr="00C653D6" w:rsidP="00C653D6">
      <w:pPr>
        <w:pStyle w:val="List"/>
      </w:pPr>
      <w:r w:rsidRPr="00C653D6">
        <w:t>•</w:t>
      </w:r>
      <w:r w:rsidRPr="00C653D6">
        <w:tab/>
        <w:t>risks associated with conscious sedation including:</w:t>
      </w:r>
    </w:p>
    <w:p w:rsidR="00000000" w:rsidRPr="00C653D6" w:rsidP="00C653D6">
      <w:pPr>
        <w:pStyle w:val="List2"/>
      </w:pPr>
      <w:r>
        <w:t>•</w:t>
      </w:r>
      <w:r>
        <w:tab/>
      </w:r>
      <w:r w:rsidRPr="00C653D6">
        <w:t>potential for unintentional loss of consciousness</w:t>
      </w:r>
    </w:p>
    <w:p w:rsidR="00000000" w:rsidRPr="00C653D6" w:rsidP="00C653D6">
      <w:pPr>
        <w:pStyle w:val="List2"/>
      </w:pPr>
      <w:r>
        <w:t>•</w:t>
      </w:r>
      <w:r>
        <w:tab/>
      </w:r>
      <w:r w:rsidRPr="00C653D6">
        <w:t>depression of protective reflexes, respirations and cardiovascular system</w:t>
      </w:r>
    </w:p>
    <w:p w:rsidR="00000000" w:rsidRPr="00C653D6" w:rsidP="00C653D6">
      <w:pPr>
        <w:pStyle w:val="List2"/>
      </w:pPr>
      <w:r>
        <w:t>•</w:t>
      </w:r>
      <w:r>
        <w:tab/>
      </w:r>
      <w:r w:rsidRPr="00C653D6">
        <w:t>variati</w:t>
      </w:r>
      <w:r w:rsidRPr="00C653D6">
        <w:t>ons in response to drugs across the lifespan of individuals</w:t>
      </w:r>
    </w:p>
    <w:p w:rsidR="00000000" w:rsidRPr="00C653D6" w:rsidP="00C653D6">
      <w:pPr>
        <w:pStyle w:val="List2"/>
      </w:pPr>
      <w:r>
        <w:t>•</w:t>
      </w:r>
      <w:r>
        <w:tab/>
      </w:r>
      <w:r w:rsidRPr="00C653D6">
        <w:t>drug interactions</w:t>
      </w:r>
    </w:p>
    <w:p w:rsidR="00000000" w:rsidRPr="00C653D6" w:rsidP="00C653D6">
      <w:pPr>
        <w:pStyle w:val="List"/>
      </w:pPr>
      <w:r w:rsidRPr="00C653D6">
        <w:t>•</w:t>
      </w:r>
      <w:r w:rsidRPr="00C653D6">
        <w:tab/>
        <w:t>differing standards of equipment and staffing at the locations where procedures are performed</w:t>
      </w:r>
    </w:p>
    <w:p w:rsidR="00000000" w:rsidRPr="00C653D6" w:rsidP="00C653D6">
      <w:pPr>
        <w:pStyle w:val="List"/>
      </w:pPr>
      <w:r w:rsidRPr="00C653D6">
        <w:t>•</w:t>
      </w:r>
      <w:r w:rsidRPr="00C653D6">
        <w:tab/>
      </w:r>
      <w:r w:rsidRPr="00C653D6">
        <w:t xml:space="preserve">equipment used to administer conscious sedation and equipment used in monitoring a patient pre- and post-oral health care procedures </w:t>
      </w:r>
    </w:p>
    <w:p w:rsidR="00000000" w:rsidRPr="00C653D6" w:rsidP="00C653D6">
      <w:pPr>
        <w:pStyle w:val="List"/>
      </w:pPr>
      <w:r w:rsidRPr="00C653D6">
        <w:t>•</w:t>
      </w:r>
      <w:r w:rsidRPr="00C653D6">
        <w:tab/>
        <w:t>reasons for keeping accurate records of oral conditions, treatments and the administration of conscious sedation</w:t>
      </w:r>
    </w:p>
    <w:p w:rsidR="00000000" w:rsidRPr="00C653D6" w:rsidP="00C653D6">
      <w:pPr>
        <w:pStyle w:val="List"/>
      </w:pPr>
      <w:r w:rsidRPr="00C653D6">
        <w:t>•</w:t>
      </w:r>
      <w:r w:rsidRPr="00C653D6">
        <w:tab/>
        <w:t>reaso</w:t>
      </w:r>
      <w:r w:rsidRPr="00C653D6">
        <w:t>ns why patients need to follow pre- and post-operative instructions, and the importance of this</w:t>
      </w:r>
    </w:p>
    <w:p w:rsidR="00000000" w:rsidRPr="00C653D6" w:rsidP="00C653D6">
      <w:pPr>
        <w:pStyle w:val="List"/>
      </w:pPr>
      <w:r w:rsidRPr="00C653D6">
        <w:t>•</w:t>
      </w:r>
      <w:r w:rsidRPr="00C653D6">
        <w:tab/>
        <w:t xml:space="preserve">discharge instructions post-recovery and observation of patient into the care of a responsible person after authorisation from dental practitioner </w:t>
      </w:r>
    </w:p>
    <w:p w:rsidR="00000000" w:rsidRPr="00C653D6" w:rsidP="00C653D6">
      <w:pPr>
        <w:pStyle w:val="List"/>
      </w:pPr>
      <w:r w:rsidRPr="00C653D6">
        <w:t>•</w:t>
      </w:r>
      <w:r w:rsidRPr="00C653D6">
        <w:tab/>
        <w:t xml:space="preserve">medical </w:t>
      </w:r>
      <w:r w:rsidRPr="00C653D6">
        <w:t>emergencies and complications that may arise during and after conscious sedation and appropriate medical response and treatment given by the dental team.</w:t>
      </w:r>
    </w:p>
    <w:p w:rsidR="00000000" w:rsidRPr="00C653D6" w:rsidP="00C653D6">
      <w:pPr>
        <w:pStyle w:val="AllowPageBreak"/>
      </w:pPr>
    </w:p>
    <w:p w:rsidR="00000000" w:rsidRPr="00C653D6" w:rsidP="00C653D6">
      <w:pPr>
        <w:pStyle w:val="Heading1"/>
      </w:pPr>
      <w:bookmarkStart w:id="4" w:name="O_819101"/>
      <w:bookmarkEnd w:id="4"/>
      <w:r w:rsidRPr="00C653D6">
        <w:t>Assessment Conditions</w:t>
      </w:r>
    </w:p>
    <w:p w:rsidR="00000000" w:rsidRPr="00C653D6" w:rsidP="00A12493">
      <w:pPr>
        <w:pStyle w:val="BodyText"/>
      </w:pPr>
      <w:r w:rsidRPr="00C653D6">
        <w:t>Skills must have been demonstrated in the dental clinic workpla</w:t>
      </w:r>
      <w:r w:rsidRPr="00C653D6">
        <w:t xml:space="preserve">ce with the addition of simulations and scenarios where the full range of contexts and situations cannot be provided in the workplace. The following conditions must be met for this unit: </w:t>
      </w:r>
    </w:p>
    <w:p w:rsidR="00000000" w:rsidRPr="00C653D6" w:rsidP="00C653D6">
      <w:pPr>
        <w:pStyle w:val="List"/>
      </w:pPr>
      <w:r w:rsidRPr="00C653D6">
        <w:t>•</w:t>
      </w:r>
      <w:r w:rsidRPr="00C653D6">
        <w:tab/>
        <w:t>use of suitable facilities, equipment and resources, including:</w:t>
      </w:r>
    </w:p>
    <w:p w:rsidR="00000000" w:rsidRPr="00C653D6" w:rsidP="00C653D6">
      <w:pPr>
        <w:pStyle w:val="List2"/>
      </w:pPr>
      <w:r>
        <w:t>•</w:t>
      </w:r>
      <w:r>
        <w:tab/>
      </w:r>
      <w:r w:rsidRPr="00C653D6">
        <w:t>barrier protection materials</w:t>
      </w:r>
    </w:p>
    <w:p w:rsidR="00000000" w:rsidRPr="00C653D6" w:rsidP="00C653D6">
      <w:pPr>
        <w:pStyle w:val="List2"/>
      </w:pPr>
      <w:r>
        <w:t>•</w:t>
      </w:r>
      <w:r>
        <w:tab/>
      </w:r>
      <w:r w:rsidRPr="00C653D6">
        <w:t>dental chair and unit</w:t>
      </w:r>
    </w:p>
    <w:p w:rsidR="00000000" w:rsidRPr="00C653D6" w:rsidP="00C653D6">
      <w:pPr>
        <w:pStyle w:val="List2"/>
      </w:pPr>
      <w:r>
        <w:t>•</w:t>
      </w:r>
      <w:r>
        <w:tab/>
      </w:r>
      <w:r w:rsidRPr="00C653D6">
        <w:t>access to defibrillator</w:t>
      </w:r>
    </w:p>
    <w:p w:rsidR="00000000" w:rsidRPr="00C653D6" w:rsidP="00C653D6">
      <w:pPr>
        <w:pStyle w:val="List2"/>
      </w:pPr>
      <w:r>
        <w:t>•</w:t>
      </w:r>
      <w:r>
        <w:tab/>
      </w:r>
      <w:r w:rsidRPr="00C653D6">
        <w:t>suctioning and operator lighting</w:t>
      </w:r>
    </w:p>
    <w:p w:rsidR="00000000" w:rsidRPr="00C653D6" w:rsidP="00C653D6">
      <w:pPr>
        <w:pStyle w:val="List2"/>
      </w:pPr>
      <w:r>
        <w:t>•</w:t>
      </w:r>
      <w:r>
        <w:tab/>
      </w:r>
      <w:r w:rsidRPr="00C653D6">
        <w:t>waste disposal equipment</w:t>
      </w:r>
    </w:p>
    <w:p w:rsidR="00000000" w:rsidRPr="00C653D6" w:rsidP="00C653D6">
      <w:pPr>
        <w:pStyle w:val="List2"/>
      </w:pPr>
      <w:r>
        <w:t>•</w:t>
      </w:r>
      <w:r>
        <w:tab/>
      </w:r>
      <w:r w:rsidRPr="00C653D6">
        <w:t xml:space="preserve">Dental Board of Australia guidelines on infection control </w:t>
      </w:r>
    </w:p>
    <w:p w:rsidR="00000000" w:rsidRPr="00C653D6" w:rsidP="00C653D6">
      <w:pPr>
        <w:pStyle w:val="List"/>
      </w:pPr>
      <w:r w:rsidRPr="00C653D6">
        <w:t>•</w:t>
      </w:r>
      <w:r w:rsidRPr="00C653D6">
        <w:tab/>
        <w:t>modelling of industry operating conditions including</w:t>
      </w:r>
      <w:r w:rsidRPr="00C653D6">
        <w:t xml:space="preserve"> access to real people for simulations and scenarios in dental assisting work.</w:t>
      </w:r>
    </w:p>
    <w:p w:rsidR="00000000" w:rsidRPr="00C653D6" w:rsidP="00C653D6">
      <w:pPr>
        <w:pStyle w:val="BodyText"/>
      </w:pPr>
    </w:p>
    <w:p w:rsidR="00000000" w:rsidRPr="00C653D6" w:rsidP="00A12493">
      <w:pPr>
        <w:pStyle w:val="BodyText"/>
      </w:pPr>
      <w:r w:rsidRPr="00C653D6">
        <w:t xml:space="preserve">Assessment must involve demonstration of tasks under the direction of the dental practitioner. </w:t>
      </w:r>
    </w:p>
    <w:p w:rsidR="00000000" w:rsidRPr="00C653D6" w:rsidP="00A12493">
      <w:pPr>
        <w:pStyle w:val="BodyText"/>
      </w:pPr>
      <w:r w:rsidRPr="00C653D6">
        <w:t>Assessors must satisfy the Standards for Registered Training Organisations (RTO</w:t>
      </w:r>
      <w:r w:rsidRPr="00C653D6">
        <w:t>s) 2015/AQTF mandatory competency requirements for assessors.</w:t>
      </w:r>
    </w:p>
    <w:p w:rsidR="00A12493" w:rsidP="00A12493">
      <w:pPr>
        <w:pStyle w:val="BodyText"/>
      </w:pPr>
      <w:r w:rsidRPr="00C653D6">
        <w:t>In addition, assessors must hold a minimum of 5 years clinical experience in dental assisting work.</w:t>
      </w:r>
    </w:p>
    <w:p w:rsidR="00000000" w:rsidRPr="00C653D6" w:rsidP="00C653D6">
      <w:pPr>
        <w:pStyle w:val="Heading1"/>
      </w:pPr>
      <w:bookmarkStart w:id="5" w:name="O_819104"/>
      <w:bookmarkEnd w:id="5"/>
      <w:r w:rsidRPr="00C653D6">
        <w:t>Links</w:t>
      </w:r>
    </w:p>
    <w:p w:rsidR="00000000" w:rsidRPr="00C653D6" w:rsidP="00A12493">
      <w:pPr>
        <w:pStyle w:val="BodyText"/>
      </w:pPr>
      <w:r w:rsidRPr="00C653D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90F2D">
        <w:rPr>
          <w:rStyle w:val="Hyperlink"/>
        </w:rPr>
        <w:t>https://vetnet.gov.au/Pages/TrainingDocs.aspx?q=ced1390f-48d9-4ab0-bd50-b015e5485705</w:t>
      </w:r>
      <w:r>
        <w:fldChar w:fldCharType="end"/>
      </w:r>
    </w:p>
    <w:p w:rsidR="00000000" w:rsidRPr="00C653D6" w:rsidP="00C653D6"/>
    <w:sectPr w:rsidSect="00C653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D6" w:rsidRPr="00A12493" w:rsidP="00A12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3" w:rsidP="00C65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493" w:rsidP="00C653D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A12493" w:rsidP="00C65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3D6" w:rsidRPr="00A12493" w:rsidP="00A12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93" w:rsidRPr="002D2AF8" w:rsidP="00C653D6">
    <w:pPr>
      <w:pStyle w:val="Header"/>
      <w:framePr w:wrap="around"/>
    </w:pPr>
    <w:r>
      <w:fldChar w:fldCharType="begin"/>
    </w:r>
    <w:r>
      <w:instrText xml:space="preserve"> TITLE   \* MERGEFORMAT </w:instrText>
    </w:r>
    <w:r>
      <w:fldChar w:fldCharType="separate"/>
    </w:r>
    <w:r>
      <w:t>Assessment Requirements for HLTDEN006 Assist in oral health care procedures during conscious sedation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A12493" w:rsidP="00C65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3D6"/>
    <w:pPr>
      <w:spacing w:before="360" w:after="60"/>
      <w:outlineLvl w:val="0"/>
    </w:pPr>
    <w:rPr>
      <w:sz w:val="32"/>
    </w:rPr>
  </w:style>
  <w:style w:type="paragraph" w:styleId="Heading2">
    <w:name w:val="heading 2"/>
    <w:basedOn w:val="HeadingBase"/>
    <w:next w:val="BodyText"/>
    <w:link w:val="Heading2Char"/>
    <w:qFormat/>
    <w:rsid w:val="00C653D6"/>
    <w:pPr>
      <w:keepLines/>
      <w:spacing w:before="240" w:after="120"/>
      <w:outlineLvl w:val="1"/>
    </w:pPr>
    <w:rPr>
      <w:sz w:val="28"/>
      <w:szCs w:val="40"/>
    </w:rPr>
  </w:style>
  <w:style w:type="paragraph" w:styleId="Heading3">
    <w:name w:val="heading 3"/>
    <w:basedOn w:val="HeadingBase"/>
    <w:next w:val="BodyText"/>
    <w:link w:val="Heading3Char"/>
    <w:qFormat/>
    <w:rsid w:val="00C653D6"/>
    <w:pPr>
      <w:spacing w:before="180" w:after="120"/>
      <w:outlineLvl w:val="2"/>
    </w:pPr>
    <w:rPr>
      <w:spacing w:val="-10"/>
      <w:kern w:val="32"/>
    </w:rPr>
  </w:style>
  <w:style w:type="paragraph" w:styleId="Heading4">
    <w:name w:val="heading 4"/>
    <w:basedOn w:val="HeadingBase"/>
    <w:next w:val="BodyText"/>
    <w:link w:val="Heading4Char"/>
    <w:qFormat/>
    <w:rsid w:val="00C653D6"/>
    <w:pPr>
      <w:spacing w:before="160" w:after="120"/>
      <w:outlineLvl w:val="3"/>
    </w:pPr>
    <w:rPr>
      <w:sz w:val="22"/>
    </w:rPr>
  </w:style>
  <w:style w:type="paragraph" w:styleId="Heading5">
    <w:name w:val="heading 5"/>
    <w:basedOn w:val="HeadingBase"/>
    <w:next w:val="Normal"/>
    <w:link w:val="Heading5Char"/>
    <w:qFormat/>
    <w:rsid w:val="00C653D6"/>
    <w:pPr>
      <w:spacing w:before="80"/>
      <w:outlineLvl w:val="4"/>
    </w:pPr>
    <w:rPr>
      <w:color w:val="918585"/>
      <w:sz w:val="20"/>
    </w:rPr>
  </w:style>
  <w:style w:type="paragraph" w:styleId="Heading6">
    <w:name w:val="heading 6"/>
    <w:basedOn w:val="HeadingBase"/>
    <w:next w:val="Normal"/>
    <w:link w:val="Heading6Char"/>
    <w:qFormat/>
    <w:rsid w:val="00C653D6"/>
    <w:pPr>
      <w:spacing w:before="60"/>
      <w:outlineLvl w:val="5"/>
    </w:pPr>
    <w:rPr>
      <w:color w:val="918585"/>
      <w:sz w:val="20"/>
    </w:rPr>
  </w:style>
  <w:style w:type="paragraph" w:styleId="Heading7">
    <w:name w:val="heading 7"/>
    <w:basedOn w:val="Normal"/>
    <w:next w:val="Normal"/>
    <w:link w:val="Heading7Char"/>
    <w:qFormat/>
    <w:rsid w:val="00C653D6"/>
    <w:pPr>
      <w:ind w:left="720"/>
      <w:outlineLvl w:val="6"/>
    </w:pPr>
    <w:rPr>
      <w:i/>
    </w:rPr>
  </w:style>
  <w:style w:type="paragraph" w:styleId="Heading8">
    <w:name w:val="heading 8"/>
    <w:basedOn w:val="Normal"/>
    <w:next w:val="Normal"/>
    <w:link w:val="Heading8Char"/>
    <w:qFormat/>
    <w:rsid w:val="00C653D6"/>
    <w:pPr>
      <w:ind w:left="720"/>
      <w:outlineLvl w:val="7"/>
    </w:pPr>
    <w:rPr>
      <w:i/>
    </w:rPr>
  </w:style>
  <w:style w:type="paragraph" w:styleId="Heading9">
    <w:name w:val="heading 9"/>
    <w:basedOn w:val="Normal"/>
    <w:next w:val="Normal"/>
    <w:link w:val="Heading9Char"/>
    <w:qFormat/>
    <w:rsid w:val="00C653D6"/>
    <w:pPr>
      <w:ind w:left="720"/>
      <w:outlineLvl w:val="8"/>
    </w:pPr>
    <w:rPr>
      <w:i/>
    </w:rPr>
  </w:style>
  <w:style w:type="character" w:default="1" w:styleId="DefaultParagraphFont">
    <w:name w:val="Default Paragraph Font"/>
    <w:uiPriority w:val="1"/>
    <w:unhideWhenUsed/>
    <w:rsid w:val="00C65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3D6"/>
  </w:style>
  <w:style w:type="character" w:customStyle="1" w:styleId="Heading1Char">
    <w:name w:val="Heading 1 Char"/>
    <w:basedOn w:val="DefaultParagraphFont"/>
    <w:link w:val="Heading1"/>
    <w:rsid w:val="00C653D6"/>
    <w:rPr>
      <w:rFonts w:ascii="Times New Roman" w:eastAsia="Times New Roman" w:hAnsi="Times New Roman" w:cs="Times New Roman"/>
      <w:b/>
      <w:sz w:val="32"/>
      <w:szCs w:val="20"/>
      <w:lang w:eastAsia="en-US"/>
    </w:rPr>
  </w:style>
  <w:style w:type="paragraph" w:styleId="BodyText">
    <w:name w:val="Body Text"/>
    <w:basedOn w:val="Normal"/>
    <w:link w:val="BodyTextChar"/>
    <w:rsid w:val="00C65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3D6"/>
    <w:rPr>
      <w:rFonts w:ascii="Times New Roman" w:eastAsia="Times New Roman" w:hAnsi="Times New Roman" w:cs="Times New Roman"/>
      <w:sz w:val="24"/>
      <w:lang w:eastAsia="en-US"/>
    </w:rPr>
  </w:style>
  <w:style w:type="paragraph" w:styleId="List">
    <w:name w:val="List"/>
    <w:basedOn w:val="BodyText"/>
    <w:next w:val="BodyText"/>
    <w:rsid w:val="00C653D6"/>
    <w:pPr>
      <w:tabs>
        <w:tab w:val="left" w:pos="340"/>
      </w:tabs>
      <w:spacing w:before="60" w:after="60"/>
      <w:ind w:left="340" w:hanging="340"/>
    </w:pPr>
  </w:style>
  <w:style w:type="character" w:styleId="Emphasis">
    <w:name w:val="Emphasis"/>
    <w:basedOn w:val="DefaultParagraphFont"/>
    <w:qFormat/>
    <w:rsid w:val="00C653D6"/>
    <w:rPr>
      <w:i/>
    </w:rPr>
  </w:style>
  <w:style w:type="paragraph" w:customStyle="1" w:styleId="SuperHeading">
    <w:name w:val="SuperHeading"/>
    <w:basedOn w:val="Normal"/>
    <w:rsid w:val="00C653D6"/>
    <w:pPr>
      <w:spacing w:before="240" w:after="120"/>
      <w:outlineLvl w:val="0"/>
    </w:pPr>
    <w:rPr>
      <w:rFonts w:ascii="Times New Roman" w:hAnsi="Times New Roman"/>
      <w:b/>
      <w:sz w:val="32"/>
    </w:rPr>
  </w:style>
  <w:style w:type="paragraph" w:customStyle="1" w:styleId="AllowPageBreak">
    <w:name w:val="AllowPageBreak"/>
    <w:rsid w:val="00C653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3D6"/>
    <w:pPr>
      <w:tabs>
        <w:tab w:val="left" w:pos="680"/>
      </w:tabs>
      <w:spacing w:before="60" w:after="60"/>
      <w:ind w:left="680" w:hanging="340"/>
    </w:pPr>
  </w:style>
  <w:style w:type="character" w:customStyle="1" w:styleId="Heading2Char">
    <w:name w:val="Heading 2 Char"/>
    <w:basedOn w:val="DefaultParagraphFont"/>
    <w:link w:val="Heading2"/>
    <w:rsid w:val="00C65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3D6"/>
    <w:rPr>
      <w:rFonts w:ascii="Courier New" w:eastAsia="Times New Roman" w:hAnsi="Courier New" w:cs="Times New Roman"/>
      <w:i/>
      <w:szCs w:val="20"/>
      <w:lang w:eastAsia="en-US"/>
    </w:rPr>
  </w:style>
  <w:style w:type="paragraph" w:customStyle="1" w:styleId="HeadingBase">
    <w:name w:val="Heading Base"/>
    <w:rsid w:val="00C65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3D6"/>
    <w:pPr>
      <w:tabs>
        <w:tab w:val="right" w:leader="dot" w:pos="9072"/>
      </w:tabs>
      <w:ind w:left="567"/>
    </w:pPr>
    <w:rPr>
      <w:szCs w:val="22"/>
    </w:rPr>
  </w:style>
  <w:style w:type="paragraph" w:customStyle="1" w:styleId="TOCBase">
    <w:name w:val="TOC Base"/>
    <w:rsid w:val="00C65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3D6"/>
    <w:pPr>
      <w:tabs>
        <w:tab w:val="right" w:leader="dot" w:pos="9072"/>
      </w:tabs>
      <w:spacing w:before="40" w:after="40"/>
      <w:ind w:left="284"/>
    </w:pPr>
    <w:rPr>
      <w:rFonts w:ascii="Times New Roman" w:hAnsi="Times New Roman"/>
    </w:rPr>
  </w:style>
  <w:style w:type="paragraph" w:styleId="TOC1">
    <w:name w:val="toc 1"/>
    <w:basedOn w:val="TOCBase"/>
    <w:next w:val="Normal"/>
    <w:rsid w:val="00C65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3D6"/>
    <w:rPr>
      <w:rFonts w:ascii="Times New Roman" w:eastAsia="Times New Roman" w:hAnsi="Times New Roman" w:cs="Times New Roman"/>
      <w:sz w:val="16"/>
      <w:lang w:eastAsia="en-US"/>
    </w:rPr>
  </w:style>
  <w:style w:type="paragraph" w:styleId="Title">
    <w:name w:val="Title"/>
    <w:basedOn w:val="HeadingBase"/>
    <w:link w:val="TitleChar"/>
    <w:qFormat/>
    <w:rsid w:val="00C653D6"/>
    <w:pPr>
      <w:spacing w:before="5040"/>
      <w:jc w:val="center"/>
    </w:pPr>
    <w:rPr>
      <w:sz w:val="48"/>
      <w:szCs w:val="72"/>
      <w:lang w:val="en-US"/>
    </w:rPr>
  </w:style>
  <w:style w:type="character" w:customStyle="1" w:styleId="TitleChar">
    <w:name w:val="Title Char"/>
    <w:basedOn w:val="DefaultParagraphFont"/>
    <w:link w:val="Title"/>
    <w:rsid w:val="00C65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3D6"/>
    <w:pPr>
      <w:tabs>
        <w:tab w:val="left" w:pos="3600"/>
        <w:tab w:val="left" w:pos="3958"/>
      </w:tabs>
    </w:pPr>
  </w:style>
  <w:style w:type="paragraph" w:styleId="ListBullet">
    <w:name w:val="List Bullet"/>
    <w:basedOn w:val="List"/>
    <w:rsid w:val="00C653D6"/>
    <w:pPr>
      <w:numPr>
        <w:numId w:val="10"/>
      </w:numPr>
      <w:tabs>
        <w:tab w:val="clear" w:pos="340"/>
      </w:tabs>
      <w:spacing w:before="40" w:after="40"/>
    </w:pPr>
  </w:style>
  <w:style w:type="paragraph" w:customStyle="1" w:styleId="Note">
    <w:name w:val="Note"/>
    <w:basedOn w:val="BodyText"/>
    <w:rsid w:val="00C653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3D6"/>
    <w:rPr>
      <w:b/>
      <w:spacing w:val="0"/>
    </w:rPr>
  </w:style>
  <w:style w:type="paragraph" w:customStyle="1" w:styleId="SuperTitle">
    <w:name w:val="SuperTitle"/>
    <w:basedOn w:val="Title"/>
    <w:rsid w:val="00C653D6"/>
    <w:pPr>
      <w:framePr w:wrap="auto" w:hAnchor="text" w:y="6049"/>
    </w:pPr>
    <w:rPr>
      <w:color w:val="000000"/>
      <w:sz w:val="40"/>
    </w:rPr>
  </w:style>
  <w:style w:type="paragraph" w:customStyle="1" w:styleId="TOCTitle">
    <w:name w:val="TOCTitle"/>
    <w:basedOn w:val="Heading1"/>
    <w:rsid w:val="00C653D6"/>
    <w:pPr>
      <w:spacing w:after="240"/>
      <w:jc w:val="center"/>
      <w:outlineLvl w:val="9"/>
    </w:pPr>
    <w:rPr>
      <w:caps/>
    </w:rPr>
  </w:style>
  <w:style w:type="paragraph" w:customStyle="1" w:styleId="Version">
    <w:name w:val="Version"/>
    <w:rsid w:val="00C653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53D6"/>
    <w:pPr>
      <w:numPr>
        <w:numId w:val="11"/>
      </w:numPr>
      <w:tabs>
        <w:tab w:val="clear" w:pos="680"/>
      </w:tabs>
    </w:pPr>
  </w:style>
  <w:style w:type="paragraph" w:styleId="Index1">
    <w:name w:val="index 1"/>
    <w:basedOn w:val="Normal"/>
    <w:next w:val="Normal"/>
    <w:semiHidden/>
    <w:rsid w:val="00C653D6"/>
    <w:pPr>
      <w:keepNext w:val="0"/>
      <w:tabs>
        <w:tab w:val="right" w:pos="4176"/>
      </w:tabs>
      <w:ind w:left="198" w:hanging="198"/>
    </w:pPr>
    <w:rPr>
      <w:rFonts w:ascii="Garamond" w:hAnsi="Garamond"/>
    </w:rPr>
  </w:style>
  <w:style w:type="paragraph" w:styleId="IndexHeading">
    <w:name w:val="index heading"/>
    <w:basedOn w:val="Normal"/>
    <w:next w:val="Index1"/>
    <w:semiHidden/>
    <w:rsid w:val="00C653D6"/>
    <w:pPr>
      <w:spacing w:before="120" w:after="120"/>
    </w:pPr>
    <w:rPr>
      <w:rFonts w:ascii="Arial" w:hAnsi="Arial"/>
      <w:b/>
      <w:color w:val="918585"/>
      <w:sz w:val="24"/>
    </w:rPr>
  </w:style>
  <w:style w:type="paragraph" w:styleId="Header">
    <w:name w:val="header"/>
    <w:basedOn w:val="Normal"/>
    <w:link w:val="HeaderChar"/>
    <w:rsid w:val="00C65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3D6"/>
    <w:rPr>
      <w:rFonts w:ascii="Times New Roman" w:eastAsia="Times New Roman" w:hAnsi="Times New Roman" w:cs="Times New Roman"/>
      <w:sz w:val="16"/>
      <w:szCs w:val="20"/>
      <w:lang w:val="en-GB" w:eastAsia="en-US"/>
    </w:rPr>
  </w:style>
  <w:style w:type="paragraph" w:customStyle="1" w:styleId="Chapter">
    <w:name w:val="Chapter"/>
    <w:basedOn w:val="Normal"/>
    <w:rsid w:val="00C653D6"/>
    <w:pPr>
      <w:spacing w:before="240"/>
    </w:pPr>
    <w:rPr>
      <w:rFonts w:ascii="Times New Roman" w:hAnsi="Times New Roman"/>
      <w:smallCaps/>
      <w:spacing w:val="80"/>
      <w:sz w:val="28"/>
    </w:rPr>
  </w:style>
  <w:style w:type="paragraph" w:customStyle="1" w:styleId="InChapter">
    <w:name w:val="InChapter"/>
    <w:basedOn w:val="Heading3"/>
    <w:rsid w:val="00C653D6"/>
    <w:pPr>
      <w:spacing w:after="240"/>
      <w:outlineLvl w:val="9"/>
    </w:pPr>
    <w:rPr>
      <w:noProof/>
    </w:rPr>
  </w:style>
  <w:style w:type="paragraph" w:styleId="Index2">
    <w:name w:val="index 2"/>
    <w:basedOn w:val="Normal"/>
    <w:next w:val="Normal"/>
    <w:semiHidden/>
    <w:rsid w:val="00C653D6"/>
    <w:pPr>
      <w:tabs>
        <w:tab w:val="right" w:pos="4176"/>
      </w:tabs>
      <w:ind w:left="568" w:hanging="284"/>
    </w:pPr>
    <w:rPr>
      <w:rFonts w:ascii="Garamond" w:hAnsi="Garamond"/>
    </w:rPr>
  </w:style>
  <w:style w:type="paragraph" w:customStyle="1" w:styleId="Byline">
    <w:name w:val="Byline"/>
    <w:rsid w:val="00C65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3D6"/>
    <w:pPr>
      <w:tabs>
        <w:tab w:val="clear" w:pos="3600"/>
        <w:tab w:val="clear" w:pos="3958"/>
      </w:tabs>
      <w:jc w:val="right"/>
    </w:pPr>
  </w:style>
  <w:style w:type="paragraph" w:styleId="Caption">
    <w:name w:val="caption"/>
    <w:basedOn w:val="BodyText"/>
    <w:next w:val="Normal"/>
    <w:qFormat/>
    <w:rsid w:val="00C653D6"/>
    <w:pPr>
      <w:framePr w:w="2268" w:hSpace="181" w:vSpace="181" w:wrap="around" w:vAnchor="text" w:hAnchor="page" w:x="1135" w:y="285" w:anchorLock="1"/>
    </w:pPr>
    <w:rPr>
      <w:i/>
    </w:rPr>
  </w:style>
  <w:style w:type="paragraph" w:customStyle="1" w:styleId="MiniTOCTitle">
    <w:name w:val="MiniTOCTitle"/>
    <w:basedOn w:val="Heading4"/>
    <w:rsid w:val="00C653D6"/>
    <w:pPr>
      <w:spacing w:before="240"/>
      <w:outlineLvl w:val="9"/>
    </w:pPr>
    <w:rPr>
      <w:noProof/>
      <w:sz w:val="24"/>
    </w:rPr>
  </w:style>
  <w:style w:type="paragraph" w:customStyle="1" w:styleId="MiniTOCItem">
    <w:name w:val="MiniTOCItem"/>
    <w:basedOn w:val="ListBullet"/>
    <w:rsid w:val="00C653D6"/>
    <w:pPr>
      <w:numPr>
        <w:numId w:val="0"/>
      </w:numPr>
      <w:tabs>
        <w:tab w:val="right" w:leader="dot" w:pos="6521"/>
      </w:tabs>
      <w:spacing w:before="0" w:after="0"/>
    </w:pPr>
  </w:style>
  <w:style w:type="paragraph" w:customStyle="1" w:styleId="TOFTitle">
    <w:name w:val="TOFTitle"/>
    <w:basedOn w:val="TOCTitle"/>
    <w:rsid w:val="00C653D6"/>
  </w:style>
  <w:style w:type="paragraph" w:styleId="TableofFigures">
    <w:name w:val="table of figures"/>
    <w:basedOn w:val="Normal"/>
    <w:next w:val="Normal"/>
    <w:semiHidden/>
    <w:rsid w:val="00C653D6"/>
    <w:pPr>
      <w:tabs>
        <w:tab w:val="right" w:leader="dot" w:pos="9072"/>
      </w:tabs>
      <w:ind w:left="970" w:hanging="403"/>
    </w:pPr>
    <w:rPr>
      <w:rFonts w:ascii="Times New Roman" w:hAnsi="Times New Roman"/>
      <w:b/>
    </w:rPr>
  </w:style>
  <w:style w:type="paragraph" w:styleId="ListNumber">
    <w:name w:val="List Number"/>
    <w:basedOn w:val="List"/>
    <w:rsid w:val="00C653D6"/>
    <w:pPr>
      <w:numPr>
        <w:numId w:val="13"/>
      </w:numPr>
      <w:tabs>
        <w:tab w:val="clear" w:pos="340"/>
      </w:tabs>
    </w:pPr>
  </w:style>
  <w:style w:type="character" w:customStyle="1" w:styleId="WingdingSymbols">
    <w:name w:val="Wingding Symbols"/>
    <w:rsid w:val="00C653D6"/>
    <w:rPr>
      <w:rFonts w:ascii="Wingdings" w:hAnsi="Wingdings"/>
    </w:rPr>
  </w:style>
  <w:style w:type="paragraph" w:customStyle="1" w:styleId="TableHeading">
    <w:name w:val="Table Heading"/>
    <w:basedOn w:val="HeadingBase"/>
    <w:rsid w:val="00C653D6"/>
    <w:pPr>
      <w:keepLines/>
      <w:pBdr>
        <w:bottom w:val="single" w:sz="6" w:space="1" w:color="918585"/>
      </w:pBdr>
      <w:spacing w:before="240"/>
    </w:pPr>
  </w:style>
  <w:style w:type="character" w:customStyle="1" w:styleId="HotSpot">
    <w:name w:val="HotSpot"/>
    <w:rsid w:val="00C653D6"/>
    <w:rPr>
      <w:color w:val="0033CC"/>
      <w:u w:val="none"/>
    </w:rPr>
  </w:style>
  <w:style w:type="paragraph" w:customStyle="1" w:styleId="BodyTextRight">
    <w:name w:val="Body Text Right"/>
    <w:basedOn w:val="BodyText"/>
    <w:rsid w:val="00C653D6"/>
    <w:pPr>
      <w:spacing w:before="0" w:after="0"/>
      <w:jc w:val="right"/>
    </w:pPr>
  </w:style>
  <w:style w:type="paragraph" w:styleId="Index3">
    <w:name w:val="index 3"/>
    <w:basedOn w:val="ListNumber2"/>
    <w:next w:val="Normal"/>
    <w:semiHidden/>
    <w:rsid w:val="00C653D6"/>
    <w:pPr>
      <w:numPr>
        <w:numId w:val="0"/>
      </w:numPr>
      <w:tabs>
        <w:tab w:val="right" w:leader="dot" w:pos="4176"/>
      </w:tabs>
    </w:pPr>
  </w:style>
  <w:style w:type="paragraph" w:styleId="ListNumber2">
    <w:name w:val="List Number 2"/>
    <w:basedOn w:val="List2"/>
    <w:rsid w:val="00C653D6"/>
    <w:pPr>
      <w:numPr>
        <w:numId w:val="8"/>
      </w:numPr>
      <w:tabs>
        <w:tab w:val="clear" w:pos="1060"/>
      </w:tabs>
    </w:pPr>
  </w:style>
  <w:style w:type="paragraph" w:customStyle="1" w:styleId="MarginNote">
    <w:name w:val="Margin Note"/>
    <w:basedOn w:val="BodyText"/>
    <w:rsid w:val="00C65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3D6"/>
    <w:rPr>
      <w:sz w:val="32"/>
    </w:rPr>
  </w:style>
  <w:style w:type="paragraph" w:customStyle="1" w:styleId="HeadingProcedure">
    <w:name w:val="Heading Procedure"/>
    <w:basedOn w:val="HeadingBase"/>
    <w:next w:val="Normal"/>
    <w:rsid w:val="00C653D6"/>
    <w:pPr>
      <w:tabs>
        <w:tab w:val="left" w:pos="0"/>
      </w:tabs>
      <w:spacing w:before="120" w:after="60"/>
    </w:pPr>
    <w:rPr>
      <w:i/>
      <w:color w:val="918585"/>
      <w:sz w:val="22"/>
    </w:rPr>
  </w:style>
  <w:style w:type="paragraph" w:customStyle="1" w:styleId="TableBodyText">
    <w:name w:val="Table Body Text"/>
    <w:basedOn w:val="BodyText"/>
    <w:rsid w:val="00C653D6"/>
    <w:pPr>
      <w:spacing w:before="60" w:after="60"/>
    </w:pPr>
  </w:style>
  <w:style w:type="paragraph" w:styleId="ListContinue">
    <w:name w:val="List Continue"/>
    <w:basedOn w:val="List"/>
    <w:rsid w:val="00C653D6"/>
    <w:pPr>
      <w:ind w:firstLine="0"/>
    </w:pPr>
  </w:style>
  <w:style w:type="paragraph" w:customStyle="1" w:styleId="ListNote">
    <w:name w:val="List Note"/>
    <w:basedOn w:val="List"/>
    <w:rsid w:val="00C653D6"/>
    <w:pPr>
      <w:pBdr>
        <w:top w:val="single" w:sz="6" w:space="2" w:color="918585"/>
        <w:bottom w:val="single" w:sz="6" w:space="2" w:color="918585"/>
      </w:pBdr>
      <w:tabs>
        <w:tab w:val="left" w:pos="1021"/>
      </w:tabs>
      <w:ind w:firstLine="0"/>
    </w:pPr>
  </w:style>
  <w:style w:type="paragraph" w:customStyle="1" w:styleId="Warning">
    <w:name w:val="Warning"/>
    <w:basedOn w:val="BodyText"/>
    <w:rsid w:val="00C653D6"/>
    <w:pPr>
      <w:shd w:val="clear" w:color="auto" w:fill="D9D9D9"/>
      <w:tabs>
        <w:tab w:val="left" w:pos="992"/>
      </w:tabs>
      <w:ind w:left="119" w:right="119"/>
    </w:pPr>
    <w:rPr>
      <w:sz w:val="20"/>
    </w:rPr>
  </w:style>
  <w:style w:type="paragraph" w:customStyle="1" w:styleId="MarginIcons">
    <w:name w:val="Margin Icons"/>
    <w:basedOn w:val="BodyText"/>
    <w:rsid w:val="00C65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3D6"/>
    <w:rPr>
      <w:rFonts w:ascii="Courier New" w:hAnsi="Courier New"/>
    </w:rPr>
  </w:style>
  <w:style w:type="paragraph" w:customStyle="1" w:styleId="NoteBullet">
    <w:name w:val="Note Bullet"/>
    <w:basedOn w:val="Note"/>
    <w:rsid w:val="00C653D6"/>
    <w:pPr>
      <w:tabs>
        <w:tab w:val="clear" w:pos="680"/>
      </w:tabs>
      <w:spacing w:before="60" w:after="60"/>
    </w:pPr>
  </w:style>
  <w:style w:type="paragraph" w:customStyle="1" w:styleId="SubHeading2">
    <w:name w:val="SubHeading2"/>
    <w:basedOn w:val="HeadingBase"/>
    <w:rsid w:val="00C653D6"/>
    <w:pPr>
      <w:spacing w:before="240" w:after="60"/>
    </w:pPr>
    <w:rPr>
      <w:sz w:val="20"/>
    </w:rPr>
  </w:style>
  <w:style w:type="paragraph" w:customStyle="1" w:styleId="SubHeading1">
    <w:name w:val="SubHeading1"/>
    <w:basedOn w:val="HeadingBase"/>
    <w:rsid w:val="00C653D6"/>
    <w:pPr>
      <w:spacing w:before="240" w:after="60"/>
    </w:pPr>
    <w:rPr>
      <w:color w:val="918585"/>
      <w:sz w:val="22"/>
    </w:rPr>
  </w:style>
  <w:style w:type="paragraph" w:customStyle="1" w:styleId="SideHeading">
    <w:name w:val="Side Heading"/>
    <w:basedOn w:val="HeadingBase"/>
    <w:rsid w:val="00C65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3D6"/>
    <w:pPr>
      <w:numPr>
        <w:numId w:val="9"/>
      </w:numPr>
    </w:pPr>
  </w:style>
  <w:style w:type="paragraph" w:styleId="PlainText">
    <w:name w:val="Plain Text"/>
    <w:basedOn w:val="Normal"/>
    <w:link w:val="PlainTextChar"/>
    <w:rsid w:val="00C653D6"/>
    <w:rPr>
      <w:sz w:val="20"/>
    </w:rPr>
  </w:style>
  <w:style w:type="character" w:customStyle="1" w:styleId="PlainTextChar">
    <w:name w:val="Plain Text Char"/>
    <w:basedOn w:val="DefaultParagraphFont"/>
    <w:link w:val="PlainText"/>
    <w:rsid w:val="00C653D6"/>
    <w:rPr>
      <w:rFonts w:ascii="Courier New" w:eastAsia="Times New Roman" w:hAnsi="Courier New" w:cs="Times New Roman"/>
      <w:sz w:val="20"/>
      <w:szCs w:val="20"/>
      <w:lang w:eastAsia="en-US"/>
    </w:rPr>
  </w:style>
  <w:style w:type="character" w:customStyle="1" w:styleId="MenuOption">
    <w:name w:val="Menu Option"/>
    <w:basedOn w:val="DefaultParagraphFont"/>
    <w:rsid w:val="00C653D6"/>
    <w:rPr>
      <w:b/>
      <w:smallCaps/>
    </w:rPr>
  </w:style>
  <w:style w:type="paragraph" w:customStyle="1" w:styleId="TableListNumber">
    <w:name w:val="Table List Number"/>
    <w:basedOn w:val="ListNumber"/>
    <w:rsid w:val="00C653D6"/>
    <w:pPr>
      <w:numPr>
        <w:numId w:val="0"/>
      </w:numPr>
    </w:pPr>
  </w:style>
  <w:style w:type="paragraph" w:styleId="TOC4">
    <w:name w:val="toc 4"/>
    <w:basedOn w:val="TOCBase"/>
    <w:next w:val="Normal"/>
    <w:semiHidden/>
    <w:rsid w:val="00C653D6"/>
    <w:pPr>
      <w:tabs>
        <w:tab w:val="right" w:leader="dot" w:pos="9071"/>
      </w:tabs>
      <w:ind w:left="1701"/>
    </w:pPr>
  </w:style>
  <w:style w:type="paragraph" w:customStyle="1" w:styleId="ListAlpha">
    <w:name w:val="List Alpha"/>
    <w:basedOn w:val="List"/>
    <w:rsid w:val="00C653D6"/>
    <w:pPr>
      <w:numPr>
        <w:numId w:val="7"/>
      </w:numPr>
    </w:pPr>
  </w:style>
  <w:style w:type="paragraph" w:customStyle="1" w:styleId="ListAlpha2">
    <w:name w:val="List Alpha 2"/>
    <w:basedOn w:val="List2"/>
    <w:rsid w:val="00C653D6"/>
    <w:pPr>
      <w:numPr>
        <w:numId w:val="6"/>
      </w:numPr>
    </w:pPr>
  </w:style>
  <w:style w:type="paragraph" w:styleId="List3">
    <w:name w:val="List 3"/>
    <w:basedOn w:val="BodyText"/>
    <w:rsid w:val="00C653D6"/>
    <w:pPr>
      <w:tabs>
        <w:tab w:val="left" w:pos="1021"/>
      </w:tabs>
      <w:spacing w:before="60" w:after="60"/>
      <w:ind w:left="1020" w:hanging="340"/>
    </w:pPr>
  </w:style>
  <w:style w:type="paragraph" w:styleId="List4">
    <w:name w:val="List 4"/>
    <w:basedOn w:val="BodyText"/>
    <w:rsid w:val="00C653D6"/>
    <w:pPr>
      <w:tabs>
        <w:tab w:val="left" w:pos="1361"/>
      </w:tabs>
      <w:spacing w:before="60" w:after="60"/>
      <w:ind w:left="1361" w:hanging="340"/>
    </w:pPr>
  </w:style>
  <w:style w:type="paragraph" w:styleId="List5">
    <w:name w:val="List 5"/>
    <w:basedOn w:val="BodyText"/>
    <w:rsid w:val="00C653D6"/>
    <w:pPr>
      <w:tabs>
        <w:tab w:val="left" w:pos="1701"/>
      </w:tabs>
      <w:spacing w:before="60" w:after="60"/>
      <w:ind w:left="1701" w:hanging="340"/>
    </w:pPr>
  </w:style>
  <w:style w:type="paragraph" w:styleId="ListBullet3">
    <w:name w:val="List Bullet 3"/>
    <w:basedOn w:val="List3"/>
    <w:rsid w:val="00C653D6"/>
    <w:pPr>
      <w:numPr>
        <w:numId w:val="12"/>
      </w:numPr>
      <w:tabs>
        <w:tab w:val="clear" w:pos="1021"/>
      </w:tabs>
      <w:ind w:left="1037" w:hanging="357"/>
    </w:pPr>
  </w:style>
  <w:style w:type="paragraph" w:styleId="ListBullet4">
    <w:name w:val="List Bullet 4"/>
    <w:basedOn w:val="List4"/>
    <w:rsid w:val="00C653D6"/>
    <w:pPr>
      <w:numPr>
        <w:numId w:val="1"/>
      </w:numPr>
      <w:tabs>
        <w:tab w:val="clear" w:pos="1361"/>
      </w:tabs>
    </w:pPr>
  </w:style>
  <w:style w:type="paragraph" w:styleId="ListBullet5">
    <w:name w:val="List Bullet 5"/>
    <w:basedOn w:val="List5"/>
    <w:rsid w:val="00C653D6"/>
    <w:pPr>
      <w:numPr>
        <w:numId w:val="2"/>
      </w:numPr>
    </w:pPr>
  </w:style>
  <w:style w:type="paragraph" w:styleId="ListContinue2">
    <w:name w:val="List Continue 2"/>
    <w:basedOn w:val="List2"/>
    <w:rsid w:val="00C653D6"/>
    <w:pPr>
      <w:ind w:firstLine="0"/>
    </w:pPr>
  </w:style>
  <w:style w:type="paragraph" w:styleId="ListContinue3">
    <w:name w:val="List Continue 3"/>
    <w:basedOn w:val="List3"/>
    <w:rsid w:val="00C653D6"/>
    <w:pPr>
      <w:ind w:left="1021" w:firstLine="0"/>
    </w:pPr>
  </w:style>
  <w:style w:type="paragraph" w:styleId="ListContinue4">
    <w:name w:val="List Continue 4"/>
    <w:basedOn w:val="List4"/>
    <w:rsid w:val="00C653D6"/>
    <w:pPr>
      <w:ind w:firstLine="0"/>
    </w:pPr>
  </w:style>
  <w:style w:type="paragraph" w:styleId="ListContinue5">
    <w:name w:val="List Continue 5"/>
    <w:basedOn w:val="List5"/>
    <w:rsid w:val="00C653D6"/>
    <w:pPr>
      <w:ind w:firstLine="0"/>
    </w:pPr>
  </w:style>
  <w:style w:type="paragraph" w:styleId="ListNumber3">
    <w:name w:val="List Number 3"/>
    <w:basedOn w:val="List3"/>
    <w:rsid w:val="00C653D6"/>
    <w:pPr>
      <w:numPr>
        <w:numId w:val="3"/>
      </w:numPr>
    </w:pPr>
  </w:style>
  <w:style w:type="paragraph" w:styleId="ListNumber4">
    <w:name w:val="List Number 4"/>
    <w:basedOn w:val="List4"/>
    <w:rsid w:val="00C653D6"/>
    <w:pPr>
      <w:numPr>
        <w:numId w:val="4"/>
      </w:numPr>
    </w:pPr>
  </w:style>
  <w:style w:type="paragraph" w:styleId="ListNumber5">
    <w:name w:val="List Number 5"/>
    <w:basedOn w:val="List5"/>
    <w:rsid w:val="00C653D6"/>
    <w:pPr>
      <w:numPr>
        <w:numId w:val="5"/>
      </w:numPr>
    </w:pPr>
  </w:style>
  <w:style w:type="paragraph" w:styleId="BlockText">
    <w:name w:val="Block Text"/>
    <w:basedOn w:val="Normal"/>
    <w:rsid w:val="00C653D6"/>
    <w:pPr>
      <w:spacing w:after="120"/>
      <w:ind w:left="1440" w:right="1440"/>
    </w:pPr>
  </w:style>
  <w:style w:type="character" w:customStyle="1" w:styleId="Subscript">
    <w:name w:val="Subscript"/>
    <w:basedOn w:val="DefaultParagraphFont"/>
    <w:rsid w:val="00C653D6"/>
    <w:rPr>
      <w:sz w:val="16"/>
      <w:vertAlign w:val="subscript"/>
    </w:rPr>
  </w:style>
  <w:style w:type="character" w:customStyle="1" w:styleId="Superscript">
    <w:name w:val="Superscript"/>
    <w:basedOn w:val="DefaultParagraphFont"/>
    <w:rsid w:val="00C653D6"/>
    <w:rPr>
      <w:sz w:val="16"/>
      <w:vertAlign w:val="superscript"/>
    </w:rPr>
  </w:style>
  <w:style w:type="character" w:customStyle="1" w:styleId="Symbols">
    <w:name w:val="Symbols"/>
    <w:basedOn w:val="DefaultParagraphFont"/>
    <w:rsid w:val="00C653D6"/>
    <w:rPr>
      <w:rFonts w:ascii="Symbol" w:hAnsi="Symbol"/>
    </w:rPr>
  </w:style>
  <w:style w:type="character" w:customStyle="1" w:styleId="MenuOptions">
    <w:name w:val="Menu Options"/>
    <w:basedOn w:val="DefaultParagraphFont"/>
    <w:rsid w:val="00C653D6"/>
    <w:rPr>
      <w:rFonts w:ascii="Arial Narrow" w:hAnsi="Arial Narrow"/>
      <w:smallCaps/>
    </w:rPr>
  </w:style>
  <w:style w:type="character" w:customStyle="1" w:styleId="Buttons">
    <w:name w:val="Buttons"/>
    <w:basedOn w:val="DefaultParagraphFont"/>
    <w:rsid w:val="00C653D6"/>
    <w:rPr>
      <w:b/>
    </w:rPr>
  </w:style>
  <w:style w:type="character" w:customStyle="1" w:styleId="Underlined">
    <w:name w:val="Underlined"/>
    <w:basedOn w:val="DefaultParagraphFont"/>
    <w:rsid w:val="00C653D6"/>
    <w:rPr>
      <w:u w:val="single"/>
    </w:rPr>
  </w:style>
  <w:style w:type="paragraph" w:customStyle="1" w:styleId="TableBodyTextRight">
    <w:name w:val="Table Body Text Right"/>
    <w:basedOn w:val="TableBodyText"/>
    <w:rsid w:val="00C653D6"/>
    <w:pPr>
      <w:widowControl w:val="0"/>
      <w:autoSpaceDE w:val="0"/>
      <w:autoSpaceDN w:val="0"/>
      <w:adjustRightInd w:val="0"/>
      <w:jc w:val="right"/>
    </w:pPr>
    <w:rPr>
      <w:rFonts w:cs="Arial"/>
      <w:szCs w:val="18"/>
    </w:rPr>
  </w:style>
  <w:style w:type="paragraph" w:customStyle="1" w:styleId="CopyrightText">
    <w:name w:val="Copyright Text"/>
    <w:basedOn w:val="BodyText"/>
    <w:rsid w:val="00C653D6"/>
    <w:rPr>
      <w:sz w:val="18"/>
    </w:rPr>
  </w:style>
  <w:style w:type="paragraph" w:customStyle="1" w:styleId="BodySmallRight">
    <w:name w:val="Body Small Right"/>
    <w:basedOn w:val="BodyTextRight"/>
    <w:rsid w:val="00C653D6"/>
    <w:rPr>
      <w:sz w:val="18"/>
      <w:szCs w:val="18"/>
    </w:rPr>
  </w:style>
  <w:style w:type="paragraph" w:customStyle="1" w:styleId="MarginEdition">
    <w:name w:val="Margin Edition"/>
    <w:basedOn w:val="MarginNote"/>
    <w:rsid w:val="00C653D6"/>
    <w:pPr>
      <w:spacing w:before="0" w:after="0"/>
    </w:pPr>
    <w:rPr>
      <w:rFonts w:ascii="Times New Roman" w:hAnsi="Times New Roman"/>
      <w:color w:val="999999"/>
    </w:rPr>
  </w:style>
  <w:style w:type="paragraph" w:customStyle="1" w:styleId="Spacer">
    <w:name w:val="Spacer"/>
    <w:basedOn w:val="Normal"/>
    <w:rsid w:val="00C653D6"/>
    <w:rPr>
      <w:sz w:val="2"/>
      <w:szCs w:val="2"/>
    </w:rPr>
  </w:style>
  <w:style w:type="character" w:customStyle="1" w:styleId="Small">
    <w:name w:val="Small"/>
    <w:basedOn w:val="DefaultParagraphFont"/>
    <w:rsid w:val="00C653D6"/>
    <w:rPr>
      <w:sz w:val="16"/>
    </w:rPr>
  </w:style>
  <w:style w:type="paragraph" w:customStyle="1" w:styleId="WideTable">
    <w:name w:val="Wide Table"/>
    <w:basedOn w:val="Normal"/>
    <w:rsid w:val="00C653D6"/>
    <w:pPr>
      <w:ind w:left="-1418"/>
    </w:pPr>
    <w:rPr>
      <w:sz w:val="2"/>
      <w:szCs w:val="2"/>
    </w:rPr>
  </w:style>
  <w:style w:type="character" w:styleId="PageNumber">
    <w:name w:val="page number"/>
    <w:basedOn w:val="DefaultParagraphFont"/>
    <w:rsid w:val="00C653D6"/>
  </w:style>
  <w:style w:type="paragraph" w:styleId="Quote">
    <w:name w:val="Quote"/>
    <w:basedOn w:val="Heading1"/>
    <w:link w:val="QuoteChar"/>
    <w:qFormat/>
    <w:rsid w:val="00C653D6"/>
    <w:rPr>
      <w:b w:val="0"/>
      <w:sz w:val="72"/>
      <w:szCs w:val="72"/>
      <w:lang w:val="en-NZ"/>
    </w:rPr>
  </w:style>
  <w:style w:type="character" w:customStyle="1" w:styleId="QuoteChar">
    <w:name w:val="Quote Char"/>
    <w:basedOn w:val="DefaultParagraphFont"/>
    <w:link w:val="Quote"/>
    <w:rsid w:val="00C65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3D6"/>
    <w:pPr>
      <w:pageBreakBefore/>
    </w:pPr>
  </w:style>
  <w:style w:type="paragraph" w:customStyle="1" w:styleId="Border">
    <w:name w:val="Border"/>
    <w:basedOn w:val="Normal"/>
    <w:qFormat/>
    <w:rsid w:val="00C65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3D6"/>
    <w:rPr>
      <w:b/>
      <w:bCs/>
      <w:i/>
      <w:iCs/>
      <w:color w:val="auto"/>
    </w:rPr>
  </w:style>
  <w:style w:type="paragraph" w:styleId="IntenseQuote">
    <w:name w:val="Intense Quote"/>
    <w:basedOn w:val="Normal"/>
    <w:next w:val="Normal"/>
    <w:link w:val="IntenseQuoteChar"/>
    <w:uiPriority w:val="30"/>
    <w:qFormat/>
    <w:rsid w:val="00C65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3D6"/>
    <w:rPr>
      <w:smallCaps/>
      <w:color w:val="auto"/>
      <w:u w:val="single"/>
    </w:rPr>
  </w:style>
  <w:style w:type="character" w:styleId="IntenseReference">
    <w:name w:val="Intense Reference"/>
    <w:basedOn w:val="DefaultParagraphFont"/>
    <w:uiPriority w:val="32"/>
    <w:qFormat/>
    <w:rsid w:val="00C653D6"/>
    <w:rPr>
      <w:b/>
      <w:bCs/>
      <w:smallCaps/>
      <w:color w:val="auto"/>
      <w:spacing w:val="5"/>
      <w:u w:val="single"/>
    </w:rPr>
  </w:style>
  <w:style w:type="paragraph" w:customStyle="1" w:styleId="2ColumnHeading">
    <w:name w:val="2Column Heading"/>
    <w:basedOn w:val="BodyText"/>
    <w:qFormat/>
    <w:rsid w:val="00C653D6"/>
    <w:pPr>
      <w:spacing w:after="60"/>
      <w:ind w:left="-2268"/>
    </w:pPr>
    <w:rPr>
      <w:b/>
    </w:rPr>
  </w:style>
  <w:style w:type="paragraph" w:customStyle="1" w:styleId="Heading1TOC">
    <w:name w:val="Heading1 TOC"/>
    <w:basedOn w:val="Normal"/>
    <w:qFormat/>
    <w:rsid w:val="00C653D6"/>
    <w:pPr>
      <w:spacing w:before="240" w:after="120"/>
    </w:pPr>
    <w:rPr>
      <w:rFonts w:ascii="Times New Roman" w:hAnsi="Times New Roman"/>
      <w:b/>
      <w:sz w:val="32"/>
    </w:rPr>
  </w:style>
  <w:style w:type="paragraph" w:customStyle="1" w:styleId="Heading2TOC">
    <w:name w:val="Heading2 TOC"/>
    <w:basedOn w:val="Normal"/>
    <w:qFormat/>
    <w:rsid w:val="00C653D6"/>
    <w:pPr>
      <w:spacing w:before="240" w:after="60"/>
    </w:pPr>
    <w:rPr>
      <w:rFonts w:ascii="Times New Roman" w:hAnsi="Times New Roman"/>
      <w:b/>
      <w:sz w:val="28"/>
    </w:rPr>
  </w:style>
  <w:style w:type="character" w:customStyle="1" w:styleId="Underline">
    <w:name w:val="Underline"/>
    <w:basedOn w:val="DefaultParagraphFont"/>
    <w:qFormat/>
    <w:rsid w:val="00C653D6"/>
    <w:rPr>
      <w:u w:val="single"/>
    </w:rPr>
  </w:style>
  <w:style w:type="character" w:customStyle="1" w:styleId="BoldandItalics">
    <w:name w:val="Bold and Italics"/>
    <w:qFormat/>
    <w:rsid w:val="00C653D6"/>
    <w:rPr>
      <w:b/>
      <w:i/>
      <w:u w:val="none"/>
    </w:rPr>
  </w:style>
  <w:style w:type="paragraph" w:styleId="BalloonText">
    <w:name w:val="Balloon Text"/>
    <w:basedOn w:val="Normal"/>
    <w:link w:val="BalloonTextChar"/>
    <w:rsid w:val="00C653D6"/>
    <w:rPr>
      <w:rFonts w:ascii="Tahoma" w:hAnsi="Tahoma" w:cs="Tahoma"/>
      <w:sz w:val="16"/>
      <w:szCs w:val="16"/>
    </w:rPr>
  </w:style>
  <w:style w:type="character" w:customStyle="1" w:styleId="BalloonTextChar">
    <w:name w:val="Balloon Text Char"/>
    <w:basedOn w:val="DefaultParagraphFont"/>
    <w:link w:val="BalloonText"/>
    <w:rsid w:val="00C65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3D6"/>
    <w:rPr>
      <w:b/>
      <w:color w:val="660033"/>
      <w:spacing w:val="0"/>
    </w:rPr>
  </w:style>
  <w:style w:type="paragraph" w:customStyle="1" w:styleId="Nameditemlist">
    <w:name w:val="Named item list"/>
    <w:basedOn w:val="BodyText"/>
    <w:qFormat/>
    <w:rsid w:val="00C653D6"/>
    <w:pPr>
      <w:tabs>
        <w:tab w:val="left" w:pos="2835"/>
      </w:tabs>
      <w:ind w:left="2835" w:hanging="2835"/>
    </w:pPr>
  </w:style>
  <w:style w:type="paragraph" w:customStyle="1" w:styleId="BodyTextnopadding">
    <w:name w:val="Body Text no padding"/>
    <w:basedOn w:val="BodyText"/>
    <w:qFormat/>
    <w:rsid w:val="00C653D6"/>
    <w:pPr>
      <w:spacing w:before="0" w:after="0"/>
    </w:pPr>
  </w:style>
  <w:style w:type="paragraph" w:customStyle="1" w:styleId="BodyTextBold">
    <w:name w:val="Body Text Bold"/>
    <w:basedOn w:val="BodyText"/>
    <w:qFormat/>
    <w:rsid w:val="00C653D6"/>
    <w:rPr>
      <w:b/>
    </w:rPr>
  </w:style>
  <w:style w:type="character" w:styleId="Hyperlink">
    <w:name w:val="Hyperlink"/>
    <w:basedOn w:val="DefaultParagraphFont"/>
    <w:uiPriority w:val="99"/>
    <w:unhideWhenUsed/>
    <w:rsid w:val="00A12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4327</Characters>
  <Application>Microsoft Office Word</Application>
  <DocSecurity>0</DocSecurity>
  <Lines>105</Lines>
  <Paragraphs>74</Paragraphs>
  <ScaleCrop>false</ScaleCrop>
  <Company>Author-it Software Corporation Ltd.</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HLTDEN006 Assist in oral health care procedures during conscious sedation</dc:title>
  <dc:subject>Approved</dc:subject>
  <dc:creator>SkillsIQ</dc:creator>
  <cp:keywords>Release: 1</cp:keywords>
  <dc:description>Review Date: 12 April 2008</dc:description>
  <cp:lastModifiedBy>HSD_TPCMSd.prod</cp:lastModifiedBy>
  <cp:revision>3</cp:revision>
  <dcterms:created xsi:type="dcterms:W3CDTF">2021-03-18T05:49:00Z</dcterms:created>
  <dcterms:modified xsi:type="dcterms:W3CDTF">2021-03-18T05:49:00Z</dcterms:modified>
</cp:coreProperties>
</file>