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CF1" w:rsidP="00807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HLTDEN001 Prepare for and assist with oral health care procedures</w:t>
      </w:r>
      <w:r>
        <w:fldChar w:fldCharType="end"/>
      </w:r>
    </w:p>
    <w:p w:rsidR="00807CF1" w:rsidP="00807CF1">
      <w:pPr>
        <w:pStyle w:val="Version"/>
        <w:sectPr w:rsidSect="00F12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D9C" w:rsidP="00F12D9C">
      <w:pPr>
        <w:pStyle w:val="SuperHeading"/>
      </w:pPr>
      <w:r w:rsidRPr="00F12D9C">
        <w:t>HLTDEN001 Prepare for and assist with oral health care procedures</w:t>
      </w:r>
    </w:p>
    <w:p w:rsidR="00000000" w:rsidRPr="00F12D9C" w:rsidP="00F12D9C">
      <w:pPr>
        <w:pStyle w:val="Heading1"/>
      </w:pPr>
      <w:bookmarkStart w:id="1" w:name="O_818993"/>
      <w:bookmarkEnd w:id="1"/>
      <w:r w:rsidRPr="00F12D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07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 xml:space="preserve">Release </w:t>
            </w:r>
            <w:r w:rsidRPr="00F12D9C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 xml:space="preserve">Comments </w:t>
            </w:r>
          </w:p>
        </w:tc>
      </w:tr>
      <w:tr w:rsidTr="00807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 xml:space="preserve">This version was released in </w:t>
            </w:r>
            <w:r w:rsidRPr="00F12D9C">
              <w:rPr>
                <w:rStyle w:val="Emphasis"/>
              </w:rPr>
              <w:t>HLT Health Training Package release 3.0</w:t>
            </w:r>
            <w:r w:rsidRPr="00F12D9C">
              <w:t xml:space="preserve"> and meets the requirements of the 2012 Standards for Training Packages.</w:t>
            </w:r>
          </w:p>
          <w:p w:rsidR="00000000" w:rsidRPr="00F12D9C" w:rsidP="00F12D9C">
            <w:pPr>
              <w:pStyle w:val="BodyText"/>
            </w:pPr>
            <w:r w:rsidRPr="00F12D9C">
              <w:t>Minimal changes to the elements and performance criteria. New evidence requirements for assessment including volume and frequency requirements. Minimum hours added. Removal of pre-req</w:t>
            </w:r>
            <w:r w:rsidRPr="00F12D9C">
              <w:t>uisites</w:t>
            </w:r>
          </w:p>
          <w:p w:rsidR="00000000" w:rsidRPr="00F12D9C" w:rsidP="00F12D9C">
            <w:pPr>
              <w:pStyle w:val="BodyText"/>
            </w:pPr>
            <w:r w:rsidRPr="00F12D9C">
              <w:t>Supersedes HLTDA303D</w:t>
            </w:r>
          </w:p>
        </w:tc>
      </w:tr>
    </w:tbl>
    <w:p w:rsidR="00000000" w:rsidRPr="00F12D9C" w:rsidP="00F12D9C">
      <w:pPr>
        <w:pStyle w:val="BodyText"/>
      </w:pPr>
    </w:p>
    <w:p w:rsidR="00000000" w:rsidRPr="00F12D9C" w:rsidP="00F12D9C">
      <w:pPr>
        <w:pStyle w:val="AllowPageBreak"/>
      </w:pPr>
    </w:p>
    <w:p w:rsidR="00000000" w:rsidRPr="00F12D9C" w:rsidP="00F12D9C">
      <w:pPr>
        <w:pStyle w:val="Heading1"/>
      </w:pPr>
      <w:bookmarkStart w:id="2" w:name="O_818994"/>
      <w:bookmarkEnd w:id="2"/>
      <w:r w:rsidRPr="00F12D9C">
        <w:t>Application</w:t>
      </w:r>
    </w:p>
    <w:p w:rsidR="00000000" w:rsidRPr="00F12D9C" w:rsidP="00807CF1">
      <w:pPr>
        <w:pStyle w:val="BodyText"/>
      </w:pPr>
      <w:r w:rsidRPr="00F12D9C">
        <w:t>This unit of competency describes the skills and knowledge required for a dental assistant to assist the operator by preparing the dental surgery including preparing necessary equipment, instrumen</w:t>
      </w:r>
      <w:r w:rsidRPr="00F12D9C">
        <w:t>ts and materials for oral health care procedures, and to assist the operator during the delivery of these procedures.</w:t>
      </w:r>
    </w:p>
    <w:p w:rsidR="00000000" w:rsidRPr="00F12D9C" w:rsidP="00807CF1">
      <w:pPr>
        <w:pStyle w:val="BodyText"/>
      </w:pPr>
      <w:r w:rsidRPr="00F12D9C">
        <w:t>This unit applies to dental assisting work.</w:t>
      </w:r>
    </w:p>
    <w:p w:rsidR="00807CF1" w:rsidRPr="00807CF1" w:rsidP="00807CF1">
      <w:pPr>
        <w:pStyle w:val="BodyText"/>
        <w:rPr>
          <w:i/>
        </w:rPr>
      </w:pPr>
      <w:r w:rsidRPr="00807CF1">
        <w:rPr>
          <w:rStyle w:val="Emphasis"/>
        </w:rPr>
        <w:t xml:space="preserve">The skills in this unit must be applied in accordance with Commonwealth and State/Territory </w:t>
      </w:r>
      <w:r w:rsidRPr="00807CF1">
        <w:rPr>
          <w:rStyle w:val="Emphasis"/>
        </w:rPr>
        <w:t>legislation, Australian/New Zealand Standards and industry codes of practice</w:t>
      </w:r>
      <w:r w:rsidRPr="00807CF1">
        <w:rPr>
          <w:i/>
        </w:rPr>
        <w:t xml:space="preserve">. </w:t>
      </w:r>
    </w:p>
    <w:p w:rsidR="00000000" w:rsidRPr="00F12D9C" w:rsidP="00F12D9C">
      <w:pPr>
        <w:pStyle w:val="Heading1"/>
      </w:pPr>
      <w:bookmarkStart w:id="3" w:name="O_818998"/>
      <w:bookmarkEnd w:id="3"/>
      <w:r w:rsidRPr="00F12D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rPr>
                <w:rStyle w:val="SpecialBold"/>
              </w:rPr>
              <w:t>PERFORMANCE CRITERIA</w:t>
            </w: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Performance criteria describe the performance needed to demonstrate achievement of the element.</w:t>
            </w: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1. Prepare the dental surgery for oral health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1.1 Make accessible in the clean zone of the surgery the patient’s necessary charts and records</w:t>
            </w:r>
          </w:p>
          <w:p w:rsidR="00000000" w:rsidRPr="00F12D9C" w:rsidP="00F12D9C">
            <w:pPr>
              <w:pStyle w:val="BodyText"/>
            </w:pPr>
            <w:r w:rsidRPr="00F12D9C">
              <w:t>1</w:t>
            </w:r>
            <w:r w:rsidRPr="00F12D9C">
              <w:t>.2 Identify correctly the planned procedure</w:t>
            </w:r>
          </w:p>
          <w:p w:rsidR="00000000" w:rsidRPr="00F12D9C" w:rsidP="00F12D9C">
            <w:pPr>
              <w:pStyle w:val="BodyText"/>
            </w:pPr>
            <w:r w:rsidRPr="00F12D9C">
              <w:t>1.3 Anticipate and select correctly the equipment, instruments materials and medicaments for the planned procedure, and arrange them in their likely order of use</w:t>
            </w:r>
          </w:p>
          <w:p w:rsidR="00000000" w:rsidRPr="00F12D9C" w:rsidP="00F12D9C">
            <w:pPr>
              <w:pStyle w:val="BodyText"/>
            </w:pPr>
            <w:r w:rsidRPr="00F12D9C">
              <w:t>1.4 Give personal protective equipment to the pati</w:t>
            </w:r>
            <w:r w:rsidRPr="00F12D9C">
              <w:t>ent and members of the dental team</w:t>
            </w:r>
          </w:p>
          <w:p w:rsidR="00000000" w:rsidRPr="00F12D9C" w:rsidP="00F12D9C">
            <w:pPr>
              <w:pStyle w:val="BodyText"/>
            </w:pPr>
            <w:r w:rsidRPr="00F12D9C">
              <w:t>1.5 Support aseptic techniques to prevent the spread of infection</w:t>
            </w:r>
          </w:p>
          <w:p w:rsidR="00000000" w:rsidP="00F12D9C">
            <w:pPr>
              <w:pStyle w:val="BodyText"/>
              <w:rPr>
                <w:lang w:val="en-NZ"/>
              </w:rPr>
            </w:pP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2. Use dental terminology in communication within the health care setting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2.1 Communicate with other members of the dental team using dental terminology</w:t>
            </w:r>
          </w:p>
          <w:p w:rsidR="00000000" w:rsidRPr="00F12D9C" w:rsidP="00F12D9C">
            <w:pPr>
              <w:pStyle w:val="BodyText"/>
            </w:pPr>
            <w:r w:rsidRPr="00F12D9C">
              <w:t>2.2 Receive, understand and document written and oral instructions using dental terminology</w:t>
            </w:r>
          </w:p>
          <w:p w:rsidR="00000000" w:rsidRPr="00F12D9C" w:rsidP="00F12D9C">
            <w:pPr>
              <w:pStyle w:val="BodyText"/>
            </w:pPr>
            <w:r w:rsidRPr="00F12D9C">
              <w:t>2.3 Use and correctly interpret frequently used abbreviations and symbols in dentistry</w:t>
            </w:r>
          </w:p>
          <w:p w:rsidR="00000000" w:rsidRPr="00F12D9C" w:rsidP="00F12D9C">
            <w:pPr>
              <w:pStyle w:val="BodyText"/>
            </w:pPr>
            <w:r w:rsidRPr="00F12D9C">
              <w:t xml:space="preserve">2.4 Refer to the Australian Schedule of Dental Services </w:t>
            </w:r>
            <w:r w:rsidRPr="00F12D9C">
              <w:t>and Glossary for interpreting information used in dental assisting work.</w:t>
            </w:r>
          </w:p>
          <w:p w:rsidR="00000000" w:rsidP="00F12D9C">
            <w:pPr>
              <w:pStyle w:val="BodyText"/>
              <w:rPr>
                <w:lang w:val="en-NZ"/>
              </w:rPr>
            </w:pP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3. Record personal, medical and dental details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3.1 Actively encourage patients to provide complete information without embarrassment or hesitation</w:t>
            </w:r>
          </w:p>
          <w:p w:rsidR="00000000" w:rsidRPr="00F12D9C" w:rsidP="00F12D9C">
            <w:pPr>
              <w:pStyle w:val="BodyText"/>
            </w:pPr>
            <w:r w:rsidRPr="00F12D9C">
              <w:t>3.2 Make accurate, legible and leg</w:t>
            </w:r>
            <w:r w:rsidRPr="00F12D9C">
              <w:t>al records of the patient’s personal, medical and dental information as directed by the operator</w:t>
            </w:r>
          </w:p>
          <w:p w:rsidR="00000000" w:rsidRPr="00F12D9C" w:rsidP="00F12D9C">
            <w:pPr>
              <w:pStyle w:val="BodyText"/>
            </w:pPr>
            <w:r w:rsidRPr="00F12D9C">
              <w:t>3.3 Verify this information in accordance with operator requirements</w:t>
            </w:r>
          </w:p>
          <w:p w:rsidR="00000000" w:rsidRPr="00F12D9C" w:rsidP="00F12D9C">
            <w:pPr>
              <w:pStyle w:val="BodyText"/>
            </w:pPr>
            <w:r w:rsidRPr="00F12D9C">
              <w:t>3.4 Maintain confidentiality of patient information</w:t>
            </w:r>
          </w:p>
          <w:p w:rsidR="00000000" w:rsidP="00F12D9C">
            <w:pPr>
              <w:pStyle w:val="BodyText"/>
              <w:rPr>
                <w:lang w:val="en-NZ"/>
              </w:rPr>
            </w:pP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4. Select and prepare syringe safely</w:t>
            </w:r>
            <w:r w:rsidRPr="00F12D9C">
              <w:t xml:space="preserve"> for local anaesthesia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4.1 Select and prepare the correct syringe, cartridge and needle for local anaesthesia as directed by the operator</w:t>
            </w:r>
          </w:p>
          <w:p w:rsidR="00000000" w:rsidRPr="00F12D9C" w:rsidP="00F12D9C">
            <w:pPr>
              <w:pStyle w:val="BodyText"/>
            </w:pPr>
            <w:r w:rsidRPr="00F12D9C">
              <w:t>4.2 Check the expiry dates for the local anaesthetic cartridge prior to use</w:t>
            </w:r>
          </w:p>
          <w:p w:rsidR="00000000" w:rsidRPr="00F12D9C" w:rsidP="00F12D9C">
            <w:pPr>
              <w:pStyle w:val="BodyText"/>
            </w:pPr>
            <w:r w:rsidRPr="00F12D9C">
              <w:t xml:space="preserve">4.3 Transfer the unused local anaesthetic </w:t>
            </w:r>
            <w:r w:rsidRPr="00F12D9C">
              <w:t>syringe to the operator in accordance with infection control guidelines for the transfer of sharps between health care workers</w:t>
            </w:r>
          </w:p>
          <w:p w:rsidR="00000000" w:rsidRPr="00F12D9C" w:rsidP="00F12D9C">
            <w:pPr>
              <w:pStyle w:val="BodyText"/>
            </w:pPr>
            <w:r w:rsidRPr="00F12D9C">
              <w:t>4.4  Disassemble syringe, cartridge and dispose of needle and cartridge appropriately</w:t>
            </w:r>
          </w:p>
          <w:p w:rsidR="00000000" w:rsidP="00F12D9C">
            <w:pPr>
              <w:pStyle w:val="BodyText"/>
              <w:rPr>
                <w:lang w:val="en-NZ"/>
              </w:rPr>
            </w:pP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5. Assist the operator during oral health</w:t>
            </w:r>
            <w:r w:rsidRPr="00F12D9C">
              <w:t xml:space="preserve">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5.1 Select and transfer to the operator the instruments, the equipment, materials and medicaments required for oral health care procedures</w:t>
            </w:r>
          </w:p>
          <w:p w:rsidR="00000000" w:rsidRPr="00F12D9C" w:rsidP="00F12D9C">
            <w:pPr>
              <w:pStyle w:val="BodyText"/>
            </w:pPr>
            <w:r w:rsidRPr="00F12D9C">
              <w:t>5.2 Assist the operator to maintain a clear field of vision</w:t>
            </w:r>
          </w:p>
          <w:p w:rsidR="00000000" w:rsidRPr="00F12D9C" w:rsidP="00F12D9C">
            <w:pPr>
              <w:pStyle w:val="BodyText"/>
            </w:pPr>
            <w:r w:rsidRPr="00F12D9C">
              <w:t>5.3 Clear the mouth of oral fluids and d</w:t>
            </w:r>
            <w:r w:rsidRPr="00F12D9C">
              <w:t>ebris, and control moisture</w:t>
            </w:r>
          </w:p>
          <w:p w:rsidR="00000000" w:rsidRPr="00F12D9C" w:rsidP="00F12D9C">
            <w:pPr>
              <w:pStyle w:val="BodyText"/>
            </w:pPr>
            <w:r w:rsidRPr="00F12D9C">
              <w:t>5.4 Retract and protect the patient’s soft tissues using instruments and materials appropriate to the procedure</w:t>
            </w:r>
          </w:p>
          <w:p w:rsidR="00000000" w:rsidRPr="00F12D9C" w:rsidP="00F12D9C">
            <w:pPr>
              <w:pStyle w:val="BodyText"/>
            </w:pPr>
            <w:r w:rsidRPr="00F12D9C">
              <w:t>5.5 Monitor the patient’</w:t>
            </w:r>
            <w:r w:rsidRPr="00F12D9C">
              <w:t>s well-being and take the necessary actions without delay to support the patient and the operator</w:t>
            </w:r>
          </w:p>
          <w:p w:rsidR="00000000" w:rsidRPr="00F12D9C" w:rsidP="00F12D9C">
            <w:pPr>
              <w:pStyle w:val="BodyText"/>
            </w:pPr>
            <w:r w:rsidRPr="00F12D9C">
              <w:t xml:space="preserve">5.6 Prepare the correct materials and medicaments using the correct technique and to the correct consistency and quantity required, and within the designated </w:t>
            </w:r>
            <w:r w:rsidRPr="00F12D9C">
              <w:t>timelines as directed by the operator</w:t>
            </w:r>
          </w:p>
          <w:p w:rsidR="00000000" w:rsidRPr="00F12D9C" w:rsidP="00F12D9C">
            <w:pPr>
              <w:pStyle w:val="BodyText"/>
            </w:pPr>
            <w:r w:rsidRPr="00F12D9C">
              <w:t>5.7 Select additional instruments and materials as required without contaminating sterile stock</w:t>
            </w:r>
          </w:p>
          <w:p w:rsidR="00000000" w:rsidRPr="00F12D9C" w:rsidP="00F12D9C">
            <w:pPr>
              <w:pStyle w:val="BodyText"/>
            </w:pPr>
            <w:r w:rsidRPr="00F12D9C">
              <w:t>5.8  Dispose of waste materials appropriately during the cleaning and change-over using sustainable practices and organisa</w:t>
            </w:r>
            <w:r w:rsidRPr="00F12D9C">
              <w:t>tion protocols</w:t>
            </w:r>
          </w:p>
          <w:p w:rsidR="00000000" w:rsidP="00F12D9C">
            <w:pPr>
              <w:pStyle w:val="BodyText"/>
              <w:rPr>
                <w:lang w:val="en-NZ"/>
              </w:rPr>
            </w:pPr>
          </w:p>
        </w:tc>
      </w:tr>
      <w:tr w:rsidTr="00F12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2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D9C">
            <w:pPr>
              <w:pStyle w:val="BodyText"/>
              <w:rPr>
                <w:lang w:val="en-NZ"/>
              </w:rPr>
            </w:pPr>
            <w:r w:rsidRPr="00F12D9C">
              <w:t>6. Maintain and store instruments, equipment materials and medicaments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D9C" w:rsidP="00F12D9C">
            <w:pPr>
              <w:pStyle w:val="BodyText"/>
            </w:pPr>
            <w:r w:rsidRPr="00F12D9C">
              <w:t>6.1 Check that instrument sharpness conforms to operator specifications and advise of any deficiency</w:t>
            </w:r>
          </w:p>
          <w:p w:rsidR="00000000" w:rsidRPr="00F12D9C" w:rsidP="00F12D9C">
            <w:pPr>
              <w:pStyle w:val="BodyText"/>
            </w:pPr>
            <w:r w:rsidRPr="00F12D9C">
              <w:t>6.2 Maintain instruments and equipment in good working order</w:t>
            </w:r>
          </w:p>
          <w:p w:rsidR="00000000" w:rsidRPr="00F12D9C" w:rsidP="00F12D9C">
            <w:pPr>
              <w:pStyle w:val="BodyText"/>
            </w:pPr>
            <w:r w:rsidRPr="00F12D9C">
              <w:t>6.3 St</w:t>
            </w:r>
            <w:r w:rsidRPr="00F12D9C">
              <w:t>ore instruments, equipment, materials and medicaments correctly, according to manufacturers’ instructions</w:t>
            </w:r>
          </w:p>
          <w:p w:rsidR="00000000" w:rsidRPr="00F12D9C" w:rsidP="00F12D9C">
            <w:pPr>
              <w:pStyle w:val="BodyText"/>
            </w:pPr>
            <w:r w:rsidRPr="00F12D9C">
              <w:t>6.4 Monitor storage requirements, shelf life and expiry dates of materials and medicaments</w:t>
            </w:r>
          </w:p>
          <w:p w:rsidR="00000000" w:rsidRPr="00F12D9C" w:rsidP="00F12D9C">
            <w:pPr>
              <w:pStyle w:val="BodyText"/>
            </w:pPr>
            <w:r w:rsidRPr="00F12D9C">
              <w:t>6.5 Report faults in equipment or instruments promptly to t</w:t>
            </w:r>
            <w:r w:rsidRPr="00F12D9C">
              <w:t>he operator</w:t>
            </w:r>
          </w:p>
          <w:p w:rsidR="00000000" w:rsidRPr="00F12D9C" w:rsidP="00F12D9C">
            <w:pPr>
              <w:pStyle w:val="BodyText"/>
            </w:pPr>
            <w:r w:rsidRPr="00F12D9C">
              <w:t>6.6 Ensure tracking and maintenance records are legible and accurate</w:t>
            </w:r>
          </w:p>
          <w:p w:rsidR="00000000" w:rsidRPr="00F12D9C" w:rsidP="00F12D9C">
            <w:pPr>
              <w:pStyle w:val="BodyText"/>
            </w:pPr>
            <w:r w:rsidRPr="00F12D9C">
              <w:t>6.7 Arrange for servicing of instruments and equipment in line with manufacturers’ instructions</w:t>
            </w:r>
          </w:p>
        </w:tc>
      </w:tr>
    </w:tbl>
    <w:p w:rsidR="00000000" w:rsidRPr="00F12D9C" w:rsidP="00F12D9C">
      <w:pPr>
        <w:pStyle w:val="BodyText"/>
      </w:pPr>
    </w:p>
    <w:p w:rsidR="00000000" w:rsidRPr="00F12D9C" w:rsidP="00F12D9C">
      <w:pPr>
        <w:pStyle w:val="AllowPageBreak"/>
      </w:pPr>
    </w:p>
    <w:p w:rsidR="00000000" w:rsidRPr="00F12D9C" w:rsidP="00F12D9C">
      <w:pPr>
        <w:pStyle w:val="Heading1"/>
      </w:pPr>
      <w:bookmarkStart w:id="4" w:name="O_818999"/>
      <w:bookmarkEnd w:id="4"/>
      <w:r w:rsidRPr="00F12D9C">
        <w:t>Foundation Skills</w:t>
      </w:r>
    </w:p>
    <w:p w:rsidR="00000000" w:rsidRPr="00807CF1" w:rsidP="00807CF1">
      <w:pPr>
        <w:pStyle w:val="BodyText"/>
        <w:rPr>
          <w:i/>
        </w:rPr>
      </w:pPr>
      <w:r w:rsidRPr="00807CF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807CF1" w:rsidP="00807CF1">
      <w:pPr>
        <w:pStyle w:val="BodyText"/>
      </w:pPr>
      <w:r w:rsidRPr="00F12D9C">
        <w:t>Foundation skills essential to performance are explicit in the performance criteria of this unit of competency.</w:t>
      </w:r>
    </w:p>
    <w:p w:rsidR="00000000" w:rsidRPr="00F12D9C" w:rsidP="00F12D9C">
      <w:pPr>
        <w:pStyle w:val="Heading1"/>
      </w:pPr>
      <w:bookmarkStart w:id="5" w:name="O_819001"/>
      <w:bookmarkEnd w:id="5"/>
      <w:r w:rsidRPr="00F12D9C">
        <w:t>Unit Mapping Information</w:t>
      </w:r>
    </w:p>
    <w:p w:rsidR="00000000" w:rsidRPr="00F12D9C" w:rsidP="00807CF1">
      <w:pPr>
        <w:pStyle w:val="BodyText"/>
      </w:pPr>
      <w:r w:rsidRPr="00F12D9C">
        <w:t>No Equivalent Unit</w:t>
      </w:r>
    </w:p>
    <w:p w:rsidR="00000000" w:rsidRPr="00F12D9C" w:rsidP="00F12D9C">
      <w:pPr>
        <w:pStyle w:val="Heading1"/>
      </w:pPr>
      <w:bookmarkStart w:id="6" w:name="O_819008"/>
      <w:bookmarkEnd w:id="6"/>
      <w:r w:rsidRPr="00F12D9C">
        <w:t>Links</w:t>
      </w:r>
    </w:p>
    <w:p w:rsidR="00000000" w:rsidRPr="00F12D9C" w:rsidP="00807CF1">
      <w:pPr>
        <w:pStyle w:val="BodyText"/>
      </w:pPr>
      <w:r w:rsidRPr="00F12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B4FF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12D9C" w:rsidP="00F12D9C"/>
    <w:sectPr w:rsidSect="00F12D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9C" w:rsidRPr="00807CF1" w:rsidP="00807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F1" w:rsidP="00F12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CF1" w:rsidP="00F12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7CF1" w:rsidP="00F12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D9C" w:rsidRPr="00807CF1" w:rsidP="00807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CF1" w:rsidRPr="002D2AF8" w:rsidP="00F12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HLTDEN001 Prepare for and assist with oral health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807CF1" w:rsidP="00F12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D9C"/>
  </w:style>
  <w:style w:type="character" w:customStyle="1" w:styleId="Heading1Char">
    <w:name w:val="Heading 1 Char"/>
    <w:basedOn w:val="DefaultParagraphFont"/>
    <w:link w:val="Heading1"/>
    <w:rsid w:val="00F12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D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2D9C"/>
    <w:rPr>
      <w:b/>
      <w:spacing w:val="0"/>
    </w:rPr>
  </w:style>
  <w:style w:type="character" w:styleId="Emphasis">
    <w:name w:val="Emphasis"/>
    <w:basedOn w:val="DefaultParagraphFont"/>
    <w:qFormat/>
    <w:rsid w:val="00F12D9C"/>
    <w:rPr>
      <w:i/>
    </w:rPr>
  </w:style>
  <w:style w:type="paragraph" w:customStyle="1" w:styleId="SuperHeading">
    <w:name w:val="SuperHeading"/>
    <w:basedOn w:val="Normal"/>
    <w:rsid w:val="00F12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D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D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D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D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D9C"/>
  </w:style>
  <w:style w:type="paragraph" w:styleId="TableofFigures">
    <w:name w:val="table of figures"/>
    <w:basedOn w:val="Normal"/>
    <w:next w:val="Normal"/>
    <w:semiHidden/>
    <w:rsid w:val="00F12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D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D9C"/>
    <w:rPr>
      <w:rFonts w:ascii="Wingdings" w:hAnsi="Wingdings"/>
    </w:rPr>
  </w:style>
  <w:style w:type="paragraph" w:customStyle="1" w:styleId="TableHeading">
    <w:name w:val="Table Heading"/>
    <w:basedOn w:val="HeadingBase"/>
    <w:rsid w:val="00F12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D9C"/>
    <w:rPr>
      <w:color w:val="0033CC"/>
      <w:u w:val="none"/>
    </w:rPr>
  </w:style>
  <w:style w:type="paragraph" w:customStyle="1" w:styleId="BodyTextRight">
    <w:name w:val="Body Text Right"/>
    <w:basedOn w:val="BodyText"/>
    <w:rsid w:val="00F12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D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D9C"/>
    <w:rPr>
      <w:sz w:val="32"/>
    </w:rPr>
  </w:style>
  <w:style w:type="paragraph" w:customStyle="1" w:styleId="HeadingProcedure">
    <w:name w:val="Heading Procedure"/>
    <w:basedOn w:val="HeadingBase"/>
    <w:next w:val="Normal"/>
    <w:rsid w:val="00F12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D9C"/>
    <w:pPr>
      <w:spacing w:before="60" w:after="60"/>
    </w:pPr>
  </w:style>
  <w:style w:type="paragraph" w:styleId="ListContinue">
    <w:name w:val="List Continue"/>
    <w:basedOn w:val="List"/>
    <w:rsid w:val="00F12D9C"/>
    <w:pPr>
      <w:ind w:firstLine="0"/>
    </w:pPr>
  </w:style>
  <w:style w:type="paragraph" w:customStyle="1" w:styleId="ListNote">
    <w:name w:val="List Note"/>
    <w:basedOn w:val="List"/>
    <w:rsid w:val="00F12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D9C"/>
    <w:rPr>
      <w:rFonts w:ascii="Courier New" w:hAnsi="Courier New"/>
    </w:rPr>
  </w:style>
  <w:style w:type="paragraph" w:customStyle="1" w:styleId="NoteBullet">
    <w:name w:val="Note Bullet"/>
    <w:basedOn w:val="Note"/>
    <w:rsid w:val="00F12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D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D9C"/>
    <w:rPr>
      <w:b/>
      <w:smallCaps/>
    </w:rPr>
  </w:style>
  <w:style w:type="paragraph" w:customStyle="1" w:styleId="TableListNumber">
    <w:name w:val="Table List Number"/>
    <w:basedOn w:val="ListNumber"/>
    <w:rsid w:val="00F12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D9C"/>
    <w:pPr>
      <w:numPr>
        <w:numId w:val="7"/>
      </w:numPr>
    </w:pPr>
  </w:style>
  <w:style w:type="paragraph" w:customStyle="1" w:styleId="ListAlpha2">
    <w:name w:val="List Alpha 2"/>
    <w:basedOn w:val="List2"/>
    <w:rsid w:val="00F12D9C"/>
    <w:pPr>
      <w:numPr>
        <w:numId w:val="6"/>
      </w:numPr>
    </w:pPr>
  </w:style>
  <w:style w:type="paragraph" w:styleId="List2">
    <w:name w:val="List 2"/>
    <w:basedOn w:val="BodyText"/>
    <w:rsid w:val="00F12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D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D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D9C"/>
    <w:pPr>
      <w:numPr>
        <w:numId w:val="2"/>
      </w:numPr>
    </w:pPr>
  </w:style>
  <w:style w:type="paragraph" w:styleId="ListContinue2">
    <w:name w:val="List Continue 2"/>
    <w:basedOn w:val="List2"/>
    <w:rsid w:val="00F12D9C"/>
    <w:pPr>
      <w:ind w:firstLine="0"/>
    </w:pPr>
  </w:style>
  <w:style w:type="paragraph" w:styleId="ListContinue3">
    <w:name w:val="List Continue 3"/>
    <w:basedOn w:val="List3"/>
    <w:rsid w:val="00F12D9C"/>
    <w:pPr>
      <w:ind w:left="1021" w:firstLine="0"/>
    </w:pPr>
  </w:style>
  <w:style w:type="paragraph" w:styleId="ListContinue4">
    <w:name w:val="List Continue 4"/>
    <w:basedOn w:val="List4"/>
    <w:rsid w:val="00F12D9C"/>
    <w:pPr>
      <w:ind w:firstLine="0"/>
    </w:pPr>
  </w:style>
  <w:style w:type="paragraph" w:styleId="ListContinue5">
    <w:name w:val="List Continue 5"/>
    <w:basedOn w:val="List5"/>
    <w:rsid w:val="00F12D9C"/>
    <w:pPr>
      <w:ind w:firstLine="0"/>
    </w:pPr>
  </w:style>
  <w:style w:type="paragraph" w:styleId="ListNumber3">
    <w:name w:val="List Number 3"/>
    <w:basedOn w:val="List3"/>
    <w:rsid w:val="00F12D9C"/>
    <w:pPr>
      <w:numPr>
        <w:numId w:val="3"/>
      </w:numPr>
    </w:pPr>
  </w:style>
  <w:style w:type="paragraph" w:styleId="ListNumber4">
    <w:name w:val="List Number 4"/>
    <w:basedOn w:val="List4"/>
    <w:rsid w:val="00F12D9C"/>
    <w:pPr>
      <w:numPr>
        <w:numId w:val="4"/>
      </w:numPr>
    </w:pPr>
  </w:style>
  <w:style w:type="paragraph" w:styleId="ListNumber5">
    <w:name w:val="List Number 5"/>
    <w:basedOn w:val="List5"/>
    <w:rsid w:val="00F12D9C"/>
    <w:pPr>
      <w:numPr>
        <w:numId w:val="5"/>
      </w:numPr>
    </w:pPr>
  </w:style>
  <w:style w:type="paragraph" w:styleId="BlockText">
    <w:name w:val="Block Text"/>
    <w:basedOn w:val="Normal"/>
    <w:rsid w:val="00F12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D9C"/>
    <w:rPr>
      <w:sz w:val="16"/>
      <w:vertAlign w:val="superscript"/>
    </w:rPr>
  </w:style>
  <w:style w:type="character" w:customStyle="1" w:styleId="Symbols">
    <w:name w:val="Symbols"/>
    <w:basedOn w:val="DefaultParagraphFont"/>
    <w:rsid w:val="00F12D9C"/>
    <w:rPr>
      <w:rFonts w:ascii="Symbol" w:hAnsi="Symbol"/>
    </w:rPr>
  </w:style>
  <w:style w:type="character" w:customStyle="1" w:styleId="MenuOptions">
    <w:name w:val="Menu Options"/>
    <w:basedOn w:val="DefaultParagraphFont"/>
    <w:rsid w:val="00F12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D9C"/>
    <w:rPr>
      <w:b/>
    </w:rPr>
  </w:style>
  <w:style w:type="character" w:customStyle="1" w:styleId="Underlined">
    <w:name w:val="Underlined"/>
    <w:basedOn w:val="DefaultParagraphFont"/>
    <w:rsid w:val="00F12D9C"/>
    <w:rPr>
      <w:u w:val="single"/>
    </w:rPr>
  </w:style>
  <w:style w:type="paragraph" w:customStyle="1" w:styleId="TableBodyTextRight">
    <w:name w:val="Table Body Text Right"/>
    <w:basedOn w:val="TableBodyText"/>
    <w:rsid w:val="00F12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D9C"/>
    <w:rPr>
      <w:sz w:val="18"/>
    </w:rPr>
  </w:style>
  <w:style w:type="paragraph" w:customStyle="1" w:styleId="BodySmallRight">
    <w:name w:val="Body Small Right"/>
    <w:basedOn w:val="BodyTextRight"/>
    <w:rsid w:val="00F12D9C"/>
    <w:rPr>
      <w:sz w:val="18"/>
      <w:szCs w:val="18"/>
    </w:rPr>
  </w:style>
  <w:style w:type="paragraph" w:customStyle="1" w:styleId="MarginEdition">
    <w:name w:val="Margin Edition"/>
    <w:basedOn w:val="MarginNote"/>
    <w:rsid w:val="00F12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D9C"/>
    <w:rPr>
      <w:sz w:val="2"/>
      <w:szCs w:val="2"/>
    </w:rPr>
  </w:style>
  <w:style w:type="character" w:customStyle="1" w:styleId="Small">
    <w:name w:val="Small"/>
    <w:basedOn w:val="DefaultParagraphFont"/>
    <w:rsid w:val="00F12D9C"/>
    <w:rPr>
      <w:sz w:val="16"/>
    </w:rPr>
  </w:style>
  <w:style w:type="paragraph" w:customStyle="1" w:styleId="WideTable">
    <w:name w:val="Wide Table"/>
    <w:basedOn w:val="Normal"/>
    <w:rsid w:val="00F12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D9C"/>
  </w:style>
  <w:style w:type="paragraph" w:styleId="Quote">
    <w:name w:val="Quote"/>
    <w:basedOn w:val="Heading1"/>
    <w:link w:val="QuoteChar"/>
    <w:qFormat/>
    <w:rsid w:val="00F12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D9C"/>
    <w:pPr>
      <w:pageBreakBefore/>
    </w:pPr>
  </w:style>
  <w:style w:type="paragraph" w:customStyle="1" w:styleId="Border">
    <w:name w:val="Border"/>
    <w:basedOn w:val="Normal"/>
    <w:qFormat/>
    <w:rsid w:val="00F12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D9C"/>
    <w:rPr>
      <w:u w:val="single"/>
    </w:rPr>
  </w:style>
  <w:style w:type="character" w:customStyle="1" w:styleId="BoldandItalics">
    <w:name w:val="Bold and Italics"/>
    <w:qFormat/>
    <w:rsid w:val="00F12D9C"/>
    <w:rPr>
      <w:b/>
      <w:i/>
      <w:u w:val="none"/>
    </w:rPr>
  </w:style>
  <w:style w:type="paragraph" w:styleId="BalloonText">
    <w:name w:val="Balloon Text"/>
    <w:basedOn w:val="Normal"/>
    <w:link w:val="BalloonTextChar"/>
    <w:rsid w:val="00F12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D9C"/>
    <w:pPr>
      <w:spacing w:before="0" w:after="0"/>
    </w:pPr>
  </w:style>
  <w:style w:type="paragraph" w:customStyle="1" w:styleId="BodyTextBold">
    <w:name w:val="Body Text Bold"/>
    <w:basedOn w:val="BodyText"/>
    <w:qFormat/>
    <w:rsid w:val="00F12D9C"/>
    <w:rPr>
      <w:b/>
    </w:rPr>
  </w:style>
  <w:style w:type="character" w:styleId="Hyperlink">
    <w:name w:val="Hyperlink"/>
    <w:basedOn w:val="DefaultParagraphFont"/>
    <w:uiPriority w:val="99"/>
    <w:unhideWhenUsed/>
    <w:rsid w:val="0080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4714</Characters>
  <Application>Microsoft Office Word</Application>
  <DocSecurity>0</DocSecurity>
  <Lines>147</Lines>
  <Paragraphs>76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HLTDEN001 Prepare for and assist with oral health care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2021-03-18T06:16:00Z</dcterms:created>
  <dcterms:modified xsi:type="dcterms:W3CDTF">2021-03-18T06:16:00Z</dcterms:modified>
</cp:coreProperties>
</file>