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065" w:rsidP="00414065">
      <w:pPr>
        <w:pStyle w:val="Title"/>
      </w:pPr>
      <w:r>
        <w:fldChar w:fldCharType="begin"/>
      </w:r>
      <w:r>
        <w:instrText xml:space="preserve"> TITLE   \* MERGEFORMAT </w:instrText>
      </w:r>
      <w:r>
        <w:fldChar w:fldCharType="separate"/>
      </w:r>
      <w:r>
        <w:t>HLTDEF002 Provide treatments for common conditions</w:t>
      </w:r>
      <w:r>
        <w:fldChar w:fldCharType="end"/>
      </w:r>
    </w:p>
    <w:p w:rsidR="00414065" w:rsidP="00414065">
      <w:pPr>
        <w:pStyle w:val="Version"/>
        <w:sectPr w:rsidSect="00A768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8F9" w:rsidP="00A768F9">
      <w:pPr>
        <w:pStyle w:val="SuperHeading"/>
      </w:pPr>
      <w:r w:rsidRPr="00A768F9">
        <w:t>HLTDEF002 Provide treatments for common conditions</w:t>
      </w:r>
    </w:p>
    <w:p w:rsidR="00000000" w:rsidRPr="00A768F9" w:rsidP="00A768F9">
      <w:pPr>
        <w:pStyle w:val="Heading1"/>
      </w:pPr>
      <w:bookmarkStart w:id="1" w:name="O_785844"/>
      <w:bookmarkEnd w:id="1"/>
      <w:r w:rsidRPr="00A768F9">
        <w:t>Modification History</w:t>
      </w:r>
    </w:p>
    <w:tbl>
      <w:tblPr>
        <w:tblW w:w="0" w:type="auto"/>
        <w:tblLayout w:type="fixed"/>
        <w:tblCellMar>
          <w:left w:w="62" w:type="dxa"/>
          <w:right w:w="62" w:type="dxa"/>
        </w:tblCellMar>
        <w:tblLook w:val="0000"/>
      </w:tblPr>
      <w:tblGrid>
        <w:gridCol w:w="2790"/>
        <w:gridCol w:w="6344"/>
      </w:tblGrid>
      <w:tr w:rsidTr="00A768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8F9" w:rsidP="00A768F9">
            <w:pPr>
              <w:pStyle w:val="BodyText"/>
            </w:pPr>
            <w:r w:rsidRPr="00A768F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8F9">
            <w:pPr>
              <w:pStyle w:val="BodyText"/>
              <w:rPr>
                <w:lang w:val="en-NZ"/>
              </w:rPr>
            </w:pPr>
            <w:r w:rsidRPr="00A768F9">
              <w:rPr>
                <w:rStyle w:val="SpecialBold"/>
              </w:rPr>
              <w:t>Comments</w:t>
            </w:r>
          </w:p>
        </w:tc>
      </w:tr>
      <w:tr w:rsidTr="00A768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8F9">
            <w:pPr>
              <w:pStyle w:val="BodyText"/>
              <w:rPr>
                <w:lang w:val="en-NZ"/>
              </w:rPr>
            </w:pPr>
            <w:r w:rsidRPr="00A768F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8F9" w:rsidP="00A768F9">
            <w:pPr>
              <w:pStyle w:val="BodyText"/>
            </w:pPr>
            <w:r w:rsidRPr="00A768F9">
              <w:t xml:space="preserve">This version was released in </w:t>
            </w:r>
            <w:r w:rsidRPr="00A768F9">
              <w:rPr>
                <w:rStyle w:val="Emphasis"/>
              </w:rPr>
              <w:t xml:space="preserve">HLT Health Training Package release 2.0 </w:t>
            </w:r>
            <w:r w:rsidRPr="00A768F9">
              <w:t>and meets the requirements of the 2012 Standards for Training Packages.</w:t>
            </w:r>
          </w:p>
          <w:p w:rsidR="00000000" w:rsidRPr="00A768F9" w:rsidP="00A768F9">
            <w:pPr>
              <w:pStyle w:val="BodyText"/>
            </w:pPr>
            <w:r w:rsidRPr="00A768F9">
              <w:t>Significant changes to the elements and performance criter</w:t>
            </w:r>
            <w:r w:rsidRPr="00A768F9">
              <w:t>ia. New evidence requirements for assessment, including volume and frequency requirements. Significant change to knowledge evidence.</w:t>
            </w:r>
          </w:p>
        </w:tc>
      </w:tr>
    </w:tbl>
    <w:p w:rsidR="00000000" w:rsidRPr="00A768F9" w:rsidP="00A768F9">
      <w:pPr>
        <w:pStyle w:val="BodyText"/>
      </w:pPr>
    </w:p>
    <w:p w:rsidR="00000000" w:rsidRPr="00A768F9" w:rsidP="00A768F9">
      <w:pPr>
        <w:pStyle w:val="AllowPageBreak"/>
      </w:pPr>
    </w:p>
    <w:p w:rsidR="00000000" w:rsidRPr="00A768F9" w:rsidP="00A768F9">
      <w:pPr>
        <w:pStyle w:val="Heading1"/>
      </w:pPr>
      <w:bookmarkStart w:id="2" w:name="O_785845"/>
      <w:bookmarkEnd w:id="2"/>
      <w:r w:rsidRPr="00A768F9">
        <w:t>Application</w:t>
      </w:r>
    </w:p>
    <w:p w:rsidR="00000000" w:rsidRPr="00A768F9" w:rsidP="00414065">
      <w:pPr>
        <w:pStyle w:val="BodyText"/>
      </w:pPr>
      <w:r w:rsidRPr="00A768F9">
        <w:t>This unit describes the skills and knowledge required to assess and treat a nominated and li</w:t>
      </w:r>
      <w:r w:rsidRPr="00A768F9">
        <w:t>mited range of common health conditions and injuries.</w:t>
      </w:r>
    </w:p>
    <w:p w:rsidR="00000000" w:rsidRPr="00A768F9" w:rsidP="00414065">
      <w:pPr>
        <w:pStyle w:val="BodyText"/>
      </w:pPr>
      <w:r w:rsidRPr="00A768F9">
        <w:t>This unit applies to Australian Defence Force (ADF) health care providers working within a military context in remote and operational contexts.</w:t>
      </w:r>
    </w:p>
    <w:p w:rsidR="00414065" w:rsidRPr="00414065" w:rsidP="00414065">
      <w:pPr>
        <w:pStyle w:val="BodyText"/>
        <w:rPr>
          <w:i/>
        </w:rPr>
      </w:pPr>
      <w:r w:rsidRPr="00414065">
        <w:rPr>
          <w:rStyle w:val="Emphasis"/>
        </w:rPr>
        <w:t>The skills in this unit must be applied in accordance wi</w:t>
      </w:r>
      <w:r w:rsidRPr="00414065">
        <w:rPr>
          <w:rStyle w:val="Emphasis"/>
        </w:rPr>
        <w:t>th Commonwealth and State/Territory legislation, Australian/New Zealand standards and industry codes of practice.</w:t>
      </w:r>
    </w:p>
    <w:p w:rsidR="00000000" w:rsidRPr="00A768F9" w:rsidP="00A768F9">
      <w:pPr>
        <w:pStyle w:val="Heading1"/>
      </w:pPr>
      <w:bookmarkStart w:id="3" w:name="O_785849"/>
      <w:bookmarkEnd w:id="3"/>
      <w:r w:rsidRPr="00A768F9">
        <w:t>Elements and Performance Criteria</w:t>
      </w:r>
    </w:p>
    <w:tbl>
      <w:tblPr>
        <w:tblW w:w="0" w:type="auto"/>
        <w:tblLayout w:type="fixed"/>
        <w:tblCellMar>
          <w:left w:w="62" w:type="dxa"/>
          <w:right w:w="62" w:type="dxa"/>
        </w:tblCellMar>
        <w:tblLook w:val="0000"/>
      </w:tblPr>
      <w:tblGrid>
        <w:gridCol w:w="3261"/>
        <w:gridCol w:w="5702"/>
      </w:tblGrid>
      <w:tr w:rsidTr="00A768F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768F9" w:rsidP="00A768F9">
            <w:pPr>
              <w:pStyle w:val="BodyText"/>
            </w:pPr>
            <w:r w:rsidRPr="00A768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r w:rsidRPr="00A768F9">
              <w:rPr>
                <w:rStyle w:val="SpecialBold"/>
              </w:rPr>
              <w:t>PERFORMANCE CRITERIA</w:t>
            </w:r>
          </w:p>
        </w:tc>
      </w:tr>
      <w:tr w:rsidTr="00A768F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r w:rsidRPr="00A768F9">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r w:rsidRPr="00A768F9">
              <w:t>Performance criteria describe the performance needed to demonstrate achievement of the element.</w:t>
            </w:r>
          </w:p>
        </w:tc>
      </w:tr>
      <w:tr w:rsidTr="00A768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r w:rsidRPr="00A768F9">
              <w:t>1. Perform a basic patient assessment</w:t>
            </w:r>
          </w:p>
        </w:tc>
        <w:tc>
          <w:tcPr>
            <w:tcW w:w="5702" w:type="dxa"/>
            <w:tcBorders>
              <w:top w:val="nil"/>
              <w:left w:val="nil"/>
              <w:bottom w:val="nil"/>
              <w:right w:val="nil"/>
            </w:tcBorders>
            <w:tcMar>
              <w:top w:w="0" w:type="dxa"/>
              <w:left w:w="62" w:type="dxa"/>
              <w:bottom w:w="0" w:type="dxa"/>
              <w:right w:w="62" w:type="dxa"/>
            </w:tcMar>
          </w:tcPr>
          <w:p w:rsidR="00000000" w:rsidRPr="00A768F9" w:rsidP="00A768F9">
            <w:pPr>
              <w:pStyle w:val="BodyText"/>
            </w:pPr>
            <w:r w:rsidRPr="00A768F9">
              <w:t>1.1 Establish and accurately record a basic patient history</w:t>
            </w:r>
          </w:p>
          <w:p w:rsidR="00000000" w:rsidRPr="00A768F9" w:rsidP="00A768F9">
            <w:pPr>
              <w:pStyle w:val="BodyText"/>
            </w:pPr>
            <w:r w:rsidRPr="00A768F9">
              <w:t>1.2 Ascertain the history of the complaint through patient qu</w:t>
            </w:r>
            <w:r w:rsidRPr="00A768F9">
              <w:t xml:space="preserve">estioning </w:t>
            </w:r>
          </w:p>
          <w:p w:rsidR="00000000" w:rsidRPr="00A768F9" w:rsidP="00A768F9">
            <w:pPr>
              <w:pStyle w:val="BodyText"/>
            </w:pPr>
            <w:r w:rsidRPr="00A768F9">
              <w:t>1.3 Conduct basic clinical assessment and measurements according to established procedures and infection control requirements</w:t>
            </w:r>
          </w:p>
          <w:p w:rsidR="00000000" w:rsidRPr="00A768F9" w:rsidP="00A768F9">
            <w:pPr>
              <w:pStyle w:val="BodyText"/>
            </w:pPr>
            <w:r w:rsidRPr="00A768F9">
              <w:t>1.4 Maintain patient privacy according to guidelines</w:t>
            </w:r>
          </w:p>
          <w:p w:rsidR="00000000" w:rsidRPr="00A768F9" w:rsidP="00A768F9">
            <w:pPr>
              <w:pStyle w:val="BodyText"/>
            </w:pPr>
            <w:r w:rsidRPr="00A768F9">
              <w:t xml:space="preserve">1.5 Identify and respond to requirement for further referral </w:t>
            </w:r>
          </w:p>
          <w:p w:rsidR="00000000" w:rsidP="00A768F9">
            <w:pPr>
              <w:pStyle w:val="BodyText"/>
              <w:rPr>
                <w:lang w:val="en-NZ"/>
              </w:rPr>
            </w:pPr>
            <w:r w:rsidRPr="00A768F9">
              <w:t xml:space="preserve">1.6 </w:t>
            </w:r>
            <w:r w:rsidRPr="00A768F9">
              <w:t>Liaise with other health care providers as applicable for ongoing assessment</w:t>
            </w:r>
          </w:p>
        </w:tc>
      </w:tr>
      <w:tr w:rsidTr="00A768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p>
        </w:tc>
      </w:tr>
      <w:tr w:rsidTr="00A768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r w:rsidRPr="00A768F9">
              <w:t>2. Determine treatment plan</w:t>
            </w:r>
          </w:p>
        </w:tc>
        <w:tc>
          <w:tcPr>
            <w:tcW w:w="5702" w:type="dxa"/>
            <w:tcBorders>
              <w:top w:val="nil"/>
              <w:left w:val="nil"/>
              <w:bottom w:val="nil"/>
              <w:right w:val="nil"/>
            </w:tcBorders>
            <w:tcMar>
              <w:top w:w="0" w:type="dxa"/>
              <w:left w:w="62" w:type="dxa"/>
              <w:bottom w:w="0" w:type="dxa"/>
              <w:right w:w="62" w:type="dxa"/>
            </w:tcMar>
          </w:tcPr>
          <w:p w:rsidR="00000000" w:rsidRPr="00A768F9" w:rsidP="00A768F9">
            <w:pPr>
              <w:pStyle w:val="BodyText"/>
            </w:pPr>
            <w:r w:rsidRPr="00A768F9">
              <w:t>2.1 Determine treatment options most suitable to the patient’s condition.</w:t>
            </w:r>
          </w:p>
          <w:p w:rsidR="00000000" w:rsidRPr="00A768F9" w:rsidP="00A768F9">
            <w:pPr>
              <w:pStyle w:val="BodyText"/>
            </w:pPr>
            <w:r w:rsidRPr="00A768F9">
              <w:t>2.2 Liaise with other health care providers in determining treatment options according to client needs</w:t>
            </w:r>
          </w:p>
          <w:p w:rsidR="00000000" w:rsidRPr="00A768F9" w:rsidP="00A768F9">
            <w:pPr>
              <w:pStyle w:val="BodyText"/>
            </w:pPr>
            <w:r w:rsidRPr="00A768F9">
              <w:t>2.3 Read and correctly interpret medical reports and other data relevant to the condition</w:t>
            </w:r>
          </w:p>
          <w:p w:rsidR="00000000" w:rsidRPr="00A768F9" w:rsidP="00A768F9">
            <w:pPr>
              <w:pStyle w:val="BodyText"/>
            </w:pPr>
            <w:r w:rsidRPr="00A768F9">
              <w:t>2.4 Provide accurate and current patient advice on assessment a</w:t>
            </w:r>
            <w:r w:rsidRPr="00A768F9">
              <w:t>nd treatment options</w:t>
            </w:r>
          </w:p>
          <w:p w:rsidR="00000000" w:rsidP="00A768F9">
            <w:pPr>
              <w:pStyle w:val="BodyText"/>
              <w:rPr>
                <w:lang w:val="en-NZ"/>
              </w:rPr>
            </w:pPr>
            <w:r w:rsidRPr="00A768F9">
              <w:t xml:space="preserve">2.5 Develop a treatment plan, in accordance with clinical guidelines and authorised treatment procedures </w:t>
            </w:r>
          </w:p>
        </w:tc>
      </w:tr>
      <w:tr w:rsidTr="00A768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p>
        </w:tc>
      </w:tr>
      <w:tr w:rsidTr="00A768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r w:rsidRPr="00A768F9">
              <w:t>3. Implement treatment plan</w:t>
            </w:r>
          </w:p>
        </w:tc>
        <w:tc>
          <w:tcPr>
            <w:tcW w:w="5702" w:type="dxa"/>
            <w:tcBorders>
              <w:top w:val="nil"/>
              <w:left w:val="nil"/>
              <w:bottom w:val="nil"/>
              <w:right w:val="nil"/>
            </w:tcBorders>
            <w:tcMar>
              <w:top w:w="0" w:type="dxa"/>
              <w:left w:w="62" w:type="dxa"/>
              <w:bottom w:w="0" w:type="dxa"/>
              <w:right w:w="62" w:type="dxa"/>
            </w:tcMar>
          </w:tcPr>
          <w:p w:rsidR="00000000" w:rsidRPr="00A768F9" w:rsidP="00A768F9">
            <w:pPr>
              <w:pStyle w:val="BodyText"/>
            </w:pPr>
            <w:r w:rsidRPr="00A768F9">
              <w:t>3.1 Gain appropriate consent</w:t>
            </w:r>
            <w:r w:rsidRPr="00A768F9">
              <w:rPr>
                <w:rStyle w:val="Emphasis"/>
              </w:rPr>
              <w:t xml:space="preserve"> </w:t>
            </w:r>
            <w:r w:rsidRPr="00A768F9">
              <w:t>to proceed with treatment plan</w:t>
            </w:r>
          </w:p>
          <w:p w:rsidR="00000000" w:rsidRPr="00A768F9" w:rsidP="00A768F9">
            <w:pPr>
              <w:pStyle w:val="BodyText"/>
            </w:pPr>
            <w:r w:rsidRPr="00A768F9">
              <w:t>3.2 Implement proposed plan following</w:t>
            </w:r>
            <w:r w:rsidRPr="00A768F9">
              <w:t xml:space="preserve"> clinical guidelines and authorised treatment procedures </w:t>
            </w:r>
          </w:p>
          <w:p w:rsidR="00000000" w:rsidRPr="00A768F9" w:rsidP="00A768F9">
            <w:pPr>
              <w:pStyle w:val="BodyText"/>
            </w:pPr>
            <w:r w:rsidRPr="00A768F9">
              <w:t>3.3 Use equipment according to manufacturer instructions</w:t>
            </w:r>
          </w:p>
          <w:p w:rsidR="00000000" w:rsidRPr="00A768F9" w:rsidP="00A768F9">
            <w:pPr>
              <w:pStyle w:val="BodyText"/>
            </w:pPr>
            <w:r w:rsidRPr="00A768F9">
              <w:t>3.4 Organise follow up appointment for treatment evaluation</w:t>
            </w:r>
          </w:p>
          <w:p w:rsidR="00000000" w:rsidP="00A768F9">
            <w:pPr>
              <w:pStyle w:val="BodyText"/>
              <w:rPr>
                <w:lang w:val="en-NZ"/>
              </w:rPr>
            </w:pPr>
            <w:r w:rsidRPr="00A768F9">
              <w:t>3.5 Accurately document treatment provided</w:t>
            </w:r>
          </w:p>
        </w:tc>
      </w:tr>
      <w:tr w:rsidTr="00A768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p>
        </w:tc>
      </w:tr>
      <w:tr w:rsidTr="00A768F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r w:rsidRPr="00A768F9">
              <w:t>4. Manage and review the treatment</w:t>
            </w:r>
          </w:p>
        </w:tc>
        <w:tc>
          <w:tcPr>
            <w:tcW w:w="5702" w:type="dxa"/>
            <w:tcBorders>
              <w:top w:val="nil"/>
              <w:left w:val="nil"/>
              <w:bottom w:val="nil"/>
              <w:right w:val="nil"/>
            </w:tcBorders>
            <w:tcMar>
              <w:top w:w="0" w:type="dxa"/>
              <w:left w:w="62" w:type="dxa"/>
              <w:bottom w:w="0" w:type="dxa"/>
              <w:right w:w="62" w:type="dxa"/>
            </w:tcMar>
          </w:tcPr>
          <w:p w:rsidR="00000000" w:rsidRPr="00A768F9" w:rsidP="00A768F9">
            <w:pPr>
              <w:pStyle w:val="BodyText"/>
            </w:pPr>
            <w:r w:rsidRPr="00A768F9">
              <w:t>4.1 Monitor treatment outcomes against expectations</w:t>
            </w:r>
          </w:p>
          <w:p w:rsidR="00000000" w:rsidRPr="00A768F9" w:rsidP="00A768F9">
            <w:pPr>
              <w:pStyle w:val="BodyText"/>
            </w:pPr>
            <w:r w:rsidRPr="00A768F9">
              <w:t>4.2 Provide ongoing advice to patient regarding condition</w:t>
            </w:r>
          </w:p>
          <w:p w:rsidR="00000000" w:rsidRPr="00A768F9" w:rsidP="00A768F9">
            <w:pPr>
              <w:pStyle w:val="BodyText"/>
            </w:pPr>
            <w:r w:rsidRPr="00A768F9">
              <w:t>4.3 Evaluate therapeutic expectations and liaise with other health care professionals regarding ongoing treatment.</w:t>
            </w:r>
          </w:p>
          <w:p w:rsidR="00000000" w:rsidRPr="00A768F9" w:rsidP="00A768F9">
            <w:pPr>
              <w:pStyle w:val="BodyText"/>
            </w:pPr>
            <w:r w:rsidRPr="00A768F9">
              <w:t>4.4 Amend treatment plan as required</w:t>
            </w:r>
          </w:p>
          <w:p w:rsidR="00000000" w:rsidRPr="00A768F9" w:rsidP="00A768F9">
            <w:pPr>
              <w:pStyle w:val="BodyText"/>
            </w:pPr>
            <w:r w:rsidRPr="00A768F9">
              <w:t>4.5 Organise ongoing referral as required</w:t>
            </w:r>
          </w:p>
          <w:p w:rsidR="00000000" w:rsidRPr="00A768F9" w:rsidP="00A768F9">
            <w:pPr>
              <w:pStyle w:val="BodyText"/>
            </w:pPr>
            <w:r w:rsidRPr="00A768F9">
              <w:t>4.6 Accurately document treatment outcomes and follow up appropriately</w:t>
            </w:r>
          </w:p>
        </w:tc>
      </w:tr>
    </w:tbl>
    <w:p w:rsidR="00414065" w:rsidP="00A768F9">
      <w:pPr>
        <w:pStyle w:val="BodyText"/>
      </w:pPr>
    </w:p>
    <w:p w:rsidR="00414065" w:rsidP="00A768F9">
      <w:pPr>
        <w:pStyle w:val="BodyText"/>
      </w:pPr>
    </w:p>
    <w:p w:rsidR="00000000" w:rsidRPr="00A768F9" w:rsidP="00A768F9">
      <w:pPr>
        <w:pStyle w:val="Heading1"/>
      </w:pPr>
      <w:bookmarkStart w:id="4" w:name="O_785850"/>
      <w:bookmarkEnd w:id="4"/>
      <w:r w:rsidRPr="00A768F9">
        <w:t>Foundation Skills</w:t>
      </w:r>
    </w:p>
    <w:tbl>
      <w:tblPr>
        <w:tblW w:w="0" w:type="auto"/>
        <w:tblLayout w:type="fixed"/>
        <w:tblCellMar>
          <w:left w:w="62" w:type="dxa"/>
          <w:right w:w="62" w:type="dxa"/>
        </w:tblCellMar>
        <w:tblLook w:val="0000"/>
      </w:tblPr>
      <w:tblGrid>
        <w:gridCol w:w="8931"/>
      </w:tblGrid>
      <w:tr w:rsidTr="00A768F9">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A768F9">
            <w:pPr>
              <w:pStyle w:val="BodyText"/>
              <w:rPr>
                <w:lang w:val="en-NZ"/>
              </w:rPr>
            </w:pPr>
            <w:r w:rsidRPr="00A768F9">
              <w:t xml:space="preserve">The Foundation Skills describe those required skills (employability </w:t>
            </w:r>
            <w:r w:rsidRPr="00A768F9">
              <w:t>skills, language, literacy and numeracy) that are essential to performance.</w:t>
            </w:r>
          </w:p>
        </w:tc>
      </w:tr>
      <w:tr w:rsidTr="00A768F9">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A768F9" w:rsidP="00A768F9">
            <w:pPr>
              <w:pStyle w:val="BodyText"/>
            </w:pPr>
            <w:r w:rsidRPr="00A768F9">
              <w:t>Foundation skills essential to performance are explicit in the performance criteria of this unit.</w:t>
            </w:r>
          </w:p>
        </w:tc>
      </w:tr>
    </w:tbl>
    <w:p w:rsidR="00414065" w:rsidP="00A768F9">
      <w:pPr>
        <w:pStyle w:val="BodyText"/>
      </w:pPr>
    </w:p>
    <w:p w:rsidR="00414065" w:rsidP="00A768F9">
      <w:pPr>
        <w:pStyle w:val="BodyText"/>
      </w:pPr>
    </w:p>
    <w:p w:rsidR="00000000" w:rsidRPr="00A768F9" w:rsidP="00A768F9">
      <w:pPr>
        <w:pStyle w:val="Heading1"/>
      </w:pPr>
      <w:bookmarkStart w:id="5" w:name="O_785852"/>
      <w:bookmarkEnd w:id="5"/>
      <w:r w:rsidRPr="00A768F9">
        <w:t>Unit Mapping Information</w:t>
      </w:r>
    </w:p>
    <w:p w:rsidR="00000000" w:rsidRPr="00A768F9" w:rsidP="00414065">
      <w:pPr>
        <w:pStyle w:val="BodyText"/>
      </w:pPr>
      <w:r w:rsidRPr="00A768F9">
        <w:t xml:space="preserve">No Equivalent Unit </w:t>
      </w:r>
    </w:p>
    <w:p w:rsidR="00000000" w:rsidRPr="00A768F9" w:rsidP="00A768F9">
      <w:pPr>
        <w:pStyle w:val="Heading1"/>
      </w:pPr>
      <w:bookmarkStart w:id="6" w:name="O_785859"/>
      <w:bookmarkEnd w:id="6"/>
      <w:r w:rsidRPr="00A768F9">
        <w:t>Links</w:t>
      </w:r>
    </w:p>
    <w:p w:rsidR="00000000" w:rsidRPr="00A768F9" w:rsidP="00414065">
      <w:pPr>
        <w:pStyle w:val="BodyText"/>
      </w:pPr>
      <w:r w:rsidRPr="00A768F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71A00">
        <w:rPr>
          <w:rStyle w:val="Hyperlink"/>
        </w:rPr>
        <w:t>https://vetnet.gov.au/Pages/TrainingDocs.aspx?q=ced1390f-48d9-4ab0-bd50-b015e5485705</w:t>
      </w:r>
      <w:r>
        <w:fldChar w:fldCharType="end"/>
      </w:r>
    </w:p>
    <w:p w:rsidR="00000000" w:rsidRPr="00A768F9" w:rsidP="00414065">
      <w:pPr>
        <w:pStyle w:val="BodyText"/>
        <w:sectPr w:rsidSect="00A768F9">
          <w:headerReference w:type="default" r:id="rId10"/>
          <w:footerReference w:type="default" r:id="rId11"/>
          <w:pgSz w:w="11908" w:h="16833"/>
          <w:pgMar w:top="1702" w:right="1418" w:bottom="1702" w:left="1418" w:header="992" w:footer="992" w:gutter="0"/>
          <w:cols w:space="720"/>
          <w:noEndnote/>
          <w:docGrid w:linePitch="299"/>
        </w:sectPr>
      </w:pPr>
    </w:p>
    <w:p w:rsidR="00000000" w:rsidRPr="00A768F9" w:rsidP="00A768F9">
      <w:pPr>
        <w:pStyle w:val="SuperHeading"/>
      </w:pPr>
      <w:r w:rsidRPr="00A768F9">
        <w:t>Assessment Requirements for HLTDEF002 Provide tre</w:t>
      </w:r>
      <w:r w:rsidRPr="00A768F9">
        <w:t>atments for common conditions</w:t>
      </w:r>
    </w:p>
    <w:p w:rsidR="00000000" w:rsidRPr="00A768F9" w:rsidP="00A768F9">
      <w:pPr>
        <w:pStyle w:val="Heading1"/>
      </w:pPr>
      <w:bookmarkStart w:id="7" w:name="O_785854"/>
      <w:bookmarkEnd w:id="7"/>
      <w:r w:rsidRPr="00A768F9">
        <w:t>Modification History</w:t>
      </w:r>
    </w:p>
    <w:tbl>
      <w:tblPr>
        <w:tblW w:w="0" w:type="auto"/>
        <w:tblLayout w:type="fixed"/>
        <w:tblCellMar>
          <w:left w:w="62" w:type="dxa"/>
          <w:right w:w="62" w:type="dxa"/>
        </w:tblCellMar>
        <w:tblLook w:val="0000"/>
      </w:tblPr>
      <w:tblGrid>
        <w:gridCol w:w="2790"/>
        <w:gridCol w:w="6344"/>
      </w:tblGrid>
      <w:tr w:rsidTr="00A768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8F9" w:rsidP="00A768F9">
            <w:pPr>
              <w:pStyle w:val="BodyText"/>
            </w:pPr>
            <w:r w:rsidRPr="00A768F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8F9">
            <w:pPr>
              <w:pStyle w:val="BodyText"/>
              <w:rPr>
                <w:lang w:val="en-NZ"/>
              </w:rPr>
            </w:pPr>
            <w:r w:rsidRPr="00A768F9">
              <w:rPr>
                <w:rStyle w:val="SpecialBold"/>
              </w:rPr>
              <w:t>Comments</w:t>
            </w:r>
          </w:p>
        </w:tc>
      </w:tr>
      <w:tr w:rsidTr="00A768F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8F9">
            <w:pPr>
              <w:pStyle w:val="BodyText"/>
              <w:rPr>
                <w:lang w:val="en-NZ"/>
              </w:rPr>
            </w:pPr>
            <w:r w:rsidRPr="00A768F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8F9" w:rsidP="00A768F9">
            <w:pPr>
              <w:pStyle w:val="BodyText"/>
            </w:pPr>
            <w:r w:rsidRPr="00A768F9">
              <w:t xml:space="preserve">This version was released in </w:t>
            </w:r>
            <w:r w:rsidRPr="00A768F9">
              <w:rPr>
                <w:rStyle w:val="Emphasis"/>
              </w:rPr>
              <w:t xml:space="preserve">HLT Health Training Package release 2.0 </w:t>
            </w:r>
            <w:r w:rsidRPr="00A768F9">
              <w:t>and meets the requirements of the 2012 Standards for Training Packages.</w:t>
            </w:r>
          </w:p>
          <w:p w:rsidR="00000000" w:rsidRPr="00A768F9" w:rsidP="00A768F9">
            <w:pPr>
              <w:pStyle w:val="BodyText"/>
            </w:pPr>
            <w:r w:rsidRPr="00A768F9">
              <w:t xml:space="preserve">Significant changes </w:t>
            </w:r>
            <w:r w:rsidRPr="00A768F9">
              <w:t>to the elements and performance criteria. New evidence requirements for assessment, including volume and frequency requirements. Significant change to knowledge evidence.</w:t>
            </w:r>
          </w:p>
        </w:tc>
      </w:tr>
    </w:tbl>
    <w:p w:rsidR="00000000" w:rsidRPr="00A768F9" w:rsidP="00A768F9">
      <w:pPr>
        <w:pStyle w:val="BodyText"/>
      </w:pPr>
    </w:p>
    <w:p w:rsidR="00000000" w:rsidRPr="00A768F9" w:rsidP="00A768F9">
      <w:pPr>
        <w:pStyle w:val="AllowPageBreak"/>
      </w:pPr>
    </w:p>
    <w:p w:rsidR="00000000" w:rsidRPr="00A768F9" w:rsidP="00A768F9">
      <w:pPr>
        <w:pStyle w:val="Heading1"/>
      </w:pPr>
      <w:bookmarkStart w:id="8" w:name="O_785855"/>
      <w:bookmarkEnd w:id="8"/>
      <w:r w:rsidRPr="00A768F9">
        <w:t>Performance Evidence</w:t>
      </w:r>
    </w:p>
    <w:p w:rsidR="00000000" w:rsidRPr="00A768F9" w:rsidP="00414065">
      <w:pPr>
        <w:pStyle w:val="BodyText"/>
      </w:pPr>
      <w:r w:rsidRPr="00A768F9">
        <w:t>The candidate must show evidence of the abili</w:t>
      </w:r>
      <w:r w:rsidRPr="00A768F9">
        <w:t>ty to complete tasks outlined in elements and performance criteria of this unit, manage tasks and manage contingencies in the context of the job role. There must be evidence that the candidate has:</w:t>
      </w:r>
    </w:p>
    <w:p w:rsidR="00000000" w:rsidRPr="00A768F9" w:rsidP="00414065">
      <w:pPr>
        <w:pStyle w:val="ListBullet"/>
      </w:pPr>
      <w:r w:rsidRPr="00A768F9">
        <w:t>performed an accurate clinical assessment in acco</w:t>
      </w:r>
      <w:r w:rsidRPr="00A768F9">
        <w:t>rdance with established procedures at least 4 times, incorporating all of the following:</w:t>
      </w:r>
    </w:p>
    <w:p w:rsidR="00000000" w:rsidRPr="00A768F9" w:rsidP="00A768F9">
      <w:pPr>
        <w:pStyle w:val="List2"/>
      </w:pPr>
      <w:r>
        <w:t>•</w:t>
      </w:r>
      <w:r>
        <w:tab/>
      </w:r>
      <w:r w:rsidRPr="00A768F9">
        <w:t>patient history</w:t>
      </w:r>
    </w:p>
    <w:p w:rsidR="00000000" w:rsidRPr="00A768F9" w:rsidP="00A768F9">
      <w:pPr>
        <w:pStyle w:val="List2"/>
      </w:pPr>
      <w:r>
        <w:t>•</w:t>
      </w:r>
      <w:r>
        <w:tab/>
      </w:r>
      <w:r w:rsidRPr="00A768F9">
        <w:t>known allergies and medications</w:t>
      </w:r>
    </w:p>
    <w:p w:rsidR="00000000" w:rsidRPr="00A768F9" w:rsidP="00A768F9">
      <w:pPr>
        <w:pStyle w:val="List2"/>
      </w:pPr>
      <w:r>
        <w:t>•</w:t>
      </w:r>
      <w:r>
        <w:tab/>
      </w:r>
      <w:r w:rsidRPr="00A768F9">
        <w:t>temperature, pulse and respiration, blood pressure (TPR&amp;BP)</w:t>
      </w:r>
    </w:p>
    <w:p w:rsidR="00000000" w:rsidRPr="00A768F9" w:rsidP="00A768F9">
      <w:pPr>
        <w:pStyle w:val="List2"/>
      </w:pPr>
      <w:r>
        <w:t>•</w:t>
      </w:r>
      <w:r>
        <w:tab/>
      </w:r>
      <w:r w:rsidRPr="00A768F9">
        <w:t>oxygen saturation (SaO2)</w:t>
      </w:r>
    </w:p>
    <w:p w:rsidR="00000000" w:rsidRPr="00A768F9" w:rsidP="00A768F9">
      <w:pPr>
        <w:pStyle w:val="List2"/>
      </w:pPr>
      <w:r>
        <w:t>•</w:t>
      </w:r>
      <w:r>
        <w:tab/>
      </w:r>
      <w:r w:rsidRPr="00A768F9">
        <w:t>non invasive general ph</w:t>
      </w:r>
      <w:r w:rsidRPr="00A768F9">
        <w:t>ysical examination</w:t>
      </w:r>
    </w:p>
    <w:p w:rsidR="00000000" w:rsidRPr="00A768F9" w:rsidP="00A768F9">
      <w:pPr>
        <w:pStyle w:val="List2"/>
      </w:pPr>
      <w:r>
        <w:t>•</w:t>
      </w:r>
      <w:r>
        <w:tab/>
      </w:r>
      <w:r w:rsidRPr="00A768F9">
        <w:t>examination of presenting condition</w:t>
      </w:r>
    </w:p>
    <w:p w:rsidR="00000000" w:rsidRPr="00A768F9" w:rsidP="00A768F9">
      <w:pPr>
        <w:pStyle w:val="List2"/>
      </w:pPr>
      <w:r>
        <w:t>•</w:t>
      </w:r>
      <w:r>
        <w:tab/>
      </w:r>
      <w:r w:rsidRPr="00A768F9">
        <w:t>assessment outcomes</w:t>
      </w:r>
    </w:p>
    <w:p w:rsidR="00000000" w:rsidRPr="00A768F9" w:rsidP="00414065">
      <w:pPr>
        <w:pStyle w:val="ListBullet"/>
      </w:pPr>
      <w:r w:rsidRPr="00A768F9">
        <w:t xml:space="preserve">developed and applied treatment(s) for the following conditions according to established procedures: </w:t>
      </w:r>
    </w:p>
    <w:p w:rsidR="00000000" w:rsidRPr="00A768F9" w:rsidP="00A768F9">
      <w:pPr>
        <w:pStyle w:val="List2"/>
      </w:pPr>
      <w:r>
        <w:t>•</w:t>
      </w:r>
      <w:r>
        <w:tab/>
      </w:r>
      <w:r w:rsidRPr="00A768F9">
        <w:t>acute rhinitis</w:t>
      </w:r>
    </w:p>
    <w:p w:rsidR="00000000" w:rsidRPr="00A768F9" w:rsidP="00A768F9">
      <w:pPr>
        <w:pStyle w:val="List2"/>
      </w:pPr>
      <w:r>
        <w:t>•</w:t>
      </w:r>
      <w:r>
        <w:tab/>
      </w:r>
      <w:r w:rsidRPr="00A768F9">
        <w:t>allergic rhinitis</w:t>
      </w:r>
    </w:p>
    <w:p w:rsidR="00000000" w:rsidRPr="00A768F9" w:rsidP="00A768F9">
      <w:pPr>
        <w:pStyle w:val="List2"/>
      </w:pPr>
      <w:r>
        <w:t>•</w:t>
      </w:r>
      <w:r>
        <w:tab/>
      </w:r>
      <w:r w:rsidRPr="00A768F9">
        <w:t>bites and stings</w:t>
      </w:r>
    </w:p>
    <w:p w:rsidR="00000000" w:rsidRPr="00A768F9" w:rsidP="00A768F9">
      <w:pPr>
        <w:pStyle w:val="List2"/>
      </w:pPr>
      <w:r>
        <w:t>•</w:t>
      </w:r>
      <w:r>
        <w:tab/>
      </w:r>
      <w:r w:rsidRPr="00A768F9">
        <w:t>bowel constipat</w:t>
      </w:r>
      <w:r w:rsidRPr="00A768F9">
        <w:t>ion</w:t>
      </w:r>
    </w:p>
    <w:p w:rsidR="00000000" w:rsidRPr="00A768F9" w:rsidP="00A768F9">
      <w:pPr>
        <w:pStyle w:val="List2"/>
      </w:pPr>
      <w:r>
        <w:t>•</w:t>
      </w:r>
      <w:r>
        <w:tab/>
      </w:r>
      <w:r w:rsidRPr="00A768F9">
        <w:t>common cold</w:t>
      </w:r>
    </w:p>
    <w:p w:rsidR="00000000" w:rsidRPr="00A768F9" w:rsidP="00A768F9">
      <w:pPr>
        <w:pStyle w:val="List2"/>
      </w:pPr>
      <w:r>
        <w:t>•</w:t>
      </w:r>
      <w:r>
        <w:tab/>
      </w:r>
      <w:r w:rsidRPr="00A768F9">
        <w:t>contact dermatitis</w:t>
      </w:r>
    </w:p>
    <w:p w:rsidR="00000000" w:rsidRPr="00A768F9" w:rsidP="00A768F9">
      <w:pPr>
        <w:pStyle w:val="List2"/>
      </w:pPr>
      <w:r>
        <w:t>•</w:t>
      </w:r>
      <w:r>
        <w:tab/>
      </w:r>
      <w:r w:rsidRPr="00A768F9">
        <w:t>diarrhoea</w:t>
      </w:r>
    </w:p>
    <w:p w:rsidR="00000000" w:rsidRPr="00A768F9" w:rsidP="00A768F9">
      <w:pPr>
        <w:pStyle w:val="List2"/>
      </w:pPr>
      <w:r>
        <w:t>•</w:t>
      </w:r>
      <w:r>
        <w:tab/>
      </w:r>
      <w:r w:rsidRPr="00A768F9">
        <w:t>fever</w:t>
      </w:r>
    </w:p>
    <w:p w:rsidR="00000000" w:rsidRPr="00A768F9" w:rsidP="00A768F9">
      <w:pPr>
        <w:pStyle w:val="List2"/>
      </w:pPr>
      <w:r>
        <w:t>•</w:t>
      </w:r>
      <w:r>
        <w:tab/>
      </w:r>
      <w:r w:rsidRPr="00A768F9">
        <w:t>fungal and yeast infections of the skin</w:t>
      </w:r>
    </w:p>
    <w:p w:rsidR="00000000" w:rsidRPr="00A768F9" w:rsidP="00A768F9">
      <w:pPr>
        <w:pStyle w:val="List2"/>
      </w:pPr>
      <w:r>
        <w:t>•</w:t>
      </w:r>
      <w:r>
        <w:tab/>
      </w:r>
      <w:r w:rsidRPr="00A768F9">
        <w:t>headache</w:t>
      </w:r>
    </w:p>
    <w:p w:rsidR="00000000" w:rsidRPr="00A768F9" w:rsidP="00A768F9">
      <w:pPr>
        <w:pStyle w:val="List2"/>
      </w:pPr>
      <w:r>
        <w:t>•</w:t>
      </w:r>
      <w:r>
        <w:tab/>
      </w:r>
      <w:r w:rsidRPr="00A768F9">
        <w:t>influenza</w:t>
      </w:r>
    </w:p>
    <w:p w:rsidR="00000000" w:rsidRPr="00A768F9" w:rsidP="00A768F9">
      <w:pPr>
        <w:pStyle w:val="List2"/>
      </w:pPr>
      <w:r>
        <w:t>•</w:t>
      </w:r>
      <w:r>
        <w:tab/>
      </w:r>
      <w:r w:rsidRPr="00A768F9">
        <w:t>lip soreness</w:t>
      </w:r>
    </w:p>
    <w:p w:rsidR="00000000" w:rsidRPr="00A768F9" w:rsidP="00A768F9">
      <w:pPr>
        <w:pStyle w:val="List2"/>
      </w:pPr>
      <w:r>
        <w:t>•</w:t>
      </w:r>
      <w:r>
        <w:tab/>
      </w:r>
      <w:r w:rsidRPr="00A768F9">
        <w:t>malaria (prickly heat)</w:t>
      </w:r>
    </w:p>
    <w:p w:rsidR="00000000" w:rsidRPr="00A768F9" w:rsidP="00A768F9">
      <w:pPr>
        <w:pStyle w:val="List2"/>
      </w:pPr>
      <w:r>
        <w:t>•</w:t>
      </w:r>
      <w:r>
        <w:tab/>
      </w:r>
      <w:r w:rsidRPr="00A768F9">
        <w:t>motion sickness</w:t>
      </w:r>
    </w:p>
    <w:p w:rsidR="00000000" w:rsidRPr="00A768F9" w:rsidP="00A768F9">
      <w:pPr>
        <w:pStyle w:val="List2"/>
      </w:pPr>
      <w:r>
        <w:t>•</w:t>
      </w:r>
      <w:r>
        <w:tab/>
      </w:r>
      <w:r w:rsidRPr="00A768F9">
        <w:t>parasitic infestations of the skin</w:t>
      </w:r>
    </w:p>
    <w:p w:rsidR="00000000" w:rsidRPr="00A768F9" w:rsidP="00A768F9">
      <w:pPr>
        <w:pStyle w:val="List2"/>
      </w:pPr>
      <w:r>
        <w:t>•</w:t>
      </w:r>
      <w:r>
        <w:tab/>
      </w:r>
      <w:r w:rsidRPr="00A768F9">
        <w:t>pharyngitis</w:t>
      </w:r>
    </w:p>
    <w:p w:rsidR="00000000" w:rsidRPr="00A768F9" w:rsidP="00A768F9">
      <w:pPr>
        <w:pStyle w:val="List2"/>
      </w:pPr>
      <w:r>
        <w:t>•</w:t>
      </w:r>
      <w:r>
        <w:tab/>
      </w:r>
      <w:r w:rsidRPr="00A768F9">
        <w:t>worms/parasitic infes</w:t>
      </w:r>
      <w:r w:rsidRPr="00A768F9">
        <w:t>tations</w:t>
      </w:r>
    </w:p>
    <w:p w:rsidR="00000000" w:rsidRPr="00A768F9" w:rsidP="00A768F9">
      <w:pPr>
        <w:pStyle w:val="List2"/>
      </w:pPr>
      <w:r>
        <w:t>•</w:t>
      </w:r>
      <w:r>
        <w:tab/>
      </w:r>
      <w:r w:rsidRPr="00A768F9">
        <w:t>foreign body in eye</w:t>
      </w:r>
    </w:p>
    <w:p w:rsidR="00000000" w:rsidRPr="00A768F9" w:rsidP="00A768F9">
      <w:pPr>
        <w:pStyle w:val="List2"/>
      </w:pPr>
      <w:r>
        <w:t>•</w:t>
      </w:r>
      <w:r>
        <w:tab/>
      </w:r>
      <w:r w:rsidRPr="00A768F9">
        <w:t>skin injuries, including blisters, lacerations, punctures, grazing, contusions or minor burns</w:t>
      </w:r>
    </w:p>
    <w:p w:rsidR="00000000" w:rsidRPr="00A768F9" w:rsidP="00A768F9">
      <w:pPr>
        <w:pStyle w:val="List2"/>
      </w:pPr>
      <w:r>
        <w:t>•</w:t>
      </w:r>
      <w:r>
        <w:tab/>
      </w:r>
      <w:r w:rsidRPr="00A768F9">
        <w:t>soft tissue injuries, including haematoma, sprain, strain or overuse injuries</w:t>
      </w:r>
    </w:p>
    <w:p w:rsidR="00000000" w:rsidRPr="00A768F9" w:rsidP="00414065">
      <w:pPr>
        <w:pStyle w:val="ListBullet"/>
      </w:pPr>
      <w:r w:rsidRPr="00A768F9">
        <w:t>used all of the following treatments and approaches:</w:t>
      </w:r>
    </w:p>
    <w:p w:rsidR="00000000" w:rsidRPr="00A768F9" w:rsidP="00A768F9">
      <w:pPr>
        <w:pStyle w:val="List2"/>
      </w:pPr>
      <w:r>
        <w:t>•</w:t>
      </w:r>
      <w:r>
        <w:tab/>
      </w:r>
      <w:r w:rsidRPr="00A768F9">
        <w:t>application of hot/cold therapy</w:t>
      </w:r>
    </w:p>
    <w:p w:rsidR="00000000" w:rsidRPr="00A768F9" w:rsidP="00A768F9">
      <w:pPr>
        <w:pStyle w:val="List2"/>
      </w:pPr>
      <w:r>
        <w:t>•</w:t>
      </w:r>
      <w:r>
        <w:tab/>
      </w:r>
      <w:r w:rsidRPr="00A768F9">
        <w:t>basic dressings and bindings</w:t>
      </w:r>
    </w:p>
    <w:p w:rsidR="00000000" w:rsidRPr="00A768F9" w:rsidP="00A768F9">
      <w:pPr>
        <w:pStyle w:val="List2"/>
      </w:pPr>
      <w:r>
        <w:t>•</w:t>
      </w:r>
      <w:r>
        <w:tab/>
      </w:r>
      <w:r w:rsidRPr="00A768F9">
        <w:t>sports strapping/bandaging</w:t>
      </w:r>
    </w:p>
    <w:p w:rsidR="00000000" w:rsidRPr="00A768F9" w:rsidP="00A768F9">
      <w:pPr>
        <w:pStyle w:val="List2"/>
      </w:pPr>
      <w:r>
        <w:t>•</w:t>
      </w:r>
      <w:r>
        <w:tab/>
      </w:r>
      <w:r w:rsidRPr="00A768F9">
        <w:t>issue and administration of topical and enteral medication (oral and rectal)</w:t>
      </w:r>
    </w:p>
    <w:p w:rsidR="00000000" w:rsidRPr="00A768F9" w:rsidP="00A768F9">
      <w:pPr>
        <w:pStyle w:val="List2"/>
      </w:pPr>
      <w:r>
        <w:t>•</w:t>
      </w:r>
      <w:r>
        <w:tab/>
      </w:r>
      <w:r w:rsidRPr="00A768F9">
        <w:t>referring for further clinic</w:t>
      </w:r>
      <w:r w:rsidRPr="00A768F9">
        <w:t>al assessment and treatment</w:t>
      </w:r>
    </w:p>
    <w:p w:rsidR="00000000" w:rsidRPr="00A768F9" w:rsidP="00414065">
      <w:pPr>
        <w:pStyle w:val="ListBullet"/>
      </w:pPr>
      <w:r w:rsidRPr="00A768F9">
        <w:t>used effective communication techniques during the client interview process, including:</w:t>
      </w:r>
    </w:p>
    <w:p w:rsidR="00000000" w:rsidRPr="00A768F9" w:rsidP="00A768F9">
      <w:pPr>
        <w:pStyle w:val="List2"/>
      </w:pPr>
      <w:r>
        <w:t>•</w:t>
      </w:r>
      <w:r>
        <w:tab/>
      </w:r>
      <w:r w:rsidRPr="00A768F9">
        <w:t>two way questioning</w:t>
      </w:r>
    </w:p>
    <w:p w:rsidR="00000000" w:rsidRPr="00A768F9" w:rsidP="00A768F9">
      <w:pPr>
        <w:pStyle w:val="List2"/>
      </w:pPr>
      <w:r>
        <w:t>•</w:t>
      </w:r>
      <w:r>
        <w:tab/>
      </w:r>
      <w:r w:rsidRPr="00A768F9">
        <w:t>clinical education</w:t>
      </w:r>
    </w:p>
    <w:p w:rsidR="00000000" w:rsidRPr="00A768F9" w:rsidP="00A768F9">
      <w:pPr>
        <w:pStyle w:val="List2"/>
      </w:pPr>
      <w:r>
        <w:t>•</w:t>
      </w:r>
      <w:r>
        <w:tab/>
      </w:r>
      <w:r w:rsidRPr="00A768F9">
        <w:t>treatment plan support</w:t>
      </w:r>
    </w:p>
    <w:p w:rsidR="00000000" w:rsidRPr="00A768F9" w:rsidP="00A768F9">
      <w:pPr>
        <w:pStyle w:val="List2"/>
      </w:pPr>
      <w:r>
        <w:t>•</w:t>
      </w:r>
      <w:r>
        <w:tab/>
      </w:r>
      <w:r w:rsidRPr="00A768F9">
        <w:t>negotiation</w:t>
      </w:r>
    </w:p>
    <w:p w:rsidR="00000000" w:rsidRPr="00A768F9" w:rsidP="00A768F9">
      <w:pPr>
        <w:pStyle w:val="AllowPageBreak"/>
      </w:pPr>
    </w:p>
    <w:p w:rsidR="00000000" w:rsidRPr="00A768F9" w:rsidP="00A768F9">
      <w:pPr>
        <w:pStyle w:val="Heading1"/>
      </w:pPr>
      <w:bookmarkStart w:id="9" w:name="O_785856"/>
      <w:bookmarkEnd w:id="9"/>
      <w:r w:rsidRPr="00A768F9">
        <w:t>Knowledge Evidence</w:t>
      </w:r>
    </w:p>
    <w:p w:rsidR="00000000" w:rsidRPr="00A768F9" w:rsidP="00414065">
      <w:pPr>
        <w:pStyle w:val="BodyText"/>
      </w:pPr>
      <w:r w:rsidRPr="00A768F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768F9">
        <w:t>of:</w:t>
      </w:r>
    </w:p>
    <w:p w:rsidR="00000000" w:rsidRPr="00A768F9" w:rsidP="00A768F9">
      <w:pPr>
        <w:pStyle w:val="ListBullet"/>
      </w:pPr>
      <w:r w:rsidRPr="00A768F9">
        <w:t>legal, ethical and military requirements for treatment provision:</w:t>
      </w:r>
    </w:p>
    <w:p w:rsidR="00000000" w:rsidRPr="00A768F9" w:rsidP="00A768F9">
      <w:pPr>
        <w:pStyle w:val="List2"/>
      </w:pPr>
      <w:r w:rsidRPr="00A768F9">
        <w:t>codes of practice</w:t>
      </w:r>
    </w:p>
    <w:p w:rsidR="00000000" w:rsidRPr="00A768F9" w:rsidP="00A768F9">
      <w:pPr>
        <w:pStyle w:val="List2"/>
      </w:pPr>
      <w:r w:rsidRPr="00A768F9">
        <w:t>duty of care</w:t>
      </w:r>
    </w:p>
    <w:p w:rsidR="00000000" w:rsidRPr="00A768F9" w:rsidP="00A768F9">
      <w:pPr>
        <w:pStyle w:val="List2"/>
      </w:pPr>
      <w:r w:rsidRPr="00A768F9">
        <w:t xml:space="preserve">infection prevention and control </w:t>
      </w:r>
    </w:p>
    <w:p w:rsidR="00000000" w:rsidRPr="00A768F9" w:rsidP="00A768F9">
      <w:pPr>
        <w:pStyle w:val="List2"/>
      </w:pPr>
      <w:r w:rsidRPr="00A768F9">
        <w:t xml:space="preserve">informed consent </w:t>
      </w:r>
    </w:p>
    <w:p w:rsidR="00000000" w:rsidRPr="00A768F9" w:rsidP="00A768F9">
      <w:pPr>
        <w:pStyle w:val="List2"/>
      </w:pPr>
      <w:r w:rsidRPr="00A768F9">
        <w:t xml:space="preserve">mandatory reporting </w:t>
      </w:r>
    </w:p>
    <w:p w:rsidR="00000000" w:rsidRPr="00A768F9" w:rsidP="00A768F9">
      <w:pPr>
        <w:pStyle w:val="List2"/>
      </w:pPr>
      <w:r w:rsidRPr="00A768F9">
        <w:t>privacy, confidentiality and disclosure</w:t>
      </w:r>
    </w:p>
    <w:p w:rsidR="00000000" w:rsidRPr="00A768F9" w:rsidP="00A768F9">
      <w:pPr>
        <w:pStyle w:val="List2"/>
      </w:pPr>
      <w:r w:rsidRPr="00A768F9">
        <w:t>records management and documentation</w:t>
      </w:r>
    </w:p>
    <w:p w:rsidR="00000000" w:rsidRPr="00A768F9" w:rsidP="00A768F9">
      <w:pPr>
        <w:pStyle w:val="List2"/>
      </w:pPr>
      <w:r w:rsidRPr="00A768F9">
        <w:t>rights and responsibilities of workers, employers and clients</w:t>
      </w:r>
    </w:p>
    <w:p w:rsidR="00000000" w:rsidRPr="00A768F9" w:rsidP="00A768F9">
      <w:pPr>
        <w:pStyle w:val="List2"/>
      </w:pPr>
      <w:r w:rsidRPr="00A768F9">
        <w:t>specific information sources that inform work practice:</w:t>
      </w:r>
    </w:p>
    <w:p w:rsidR="00000000" w:rsidRPr="00A768F9" w:rsidP="00A768F9">
      <w:pPr>
        <w:pStyle w:val="List3"/>
      </w:pPr>
      <w:r w:rsidRPr="00A768F9">
        <w:rPr>
          <w:rStyle w:val="Emphasis"/>
        </w:rPr>
        <w:t>Primary clinical care manual</w:t>
      </w:r>
      <w:r w:rsidRPr="00A768F9">
        <w:t xml:space="preserve"> (PCCM)</w:t>
      </w:r>
    </w:p>
    <w:p w:rsidR="00000000" w:rsidRPr="00A768F9" w:rsidP="00A768F9">
      <w:pPr>
        <w:pStyle w:val="List3"/>
      </w:pPr>
      <w:r w:rsidRPr="00A768F9">
        <w:t>organisation/unit standard operating procedures</w:t>
      </w:r>
    </w:p>
    <w:p w:rsidR="00000000" w:rsidRPr="00A768F9" w:rsidP="00A768F9">
      <w:pPr>
        <w:pStyle w:val="List3"/>
      </w:pPr>
      <w:r w:rsidRPr="00A768F9">
        <w:t>current operational mandate</w:t>
      </w:r>
    </w:p>
    <w:p w:rsidR="00000000" w:rsidRPr="00A768F9" w:rsidP="00A768F9">
      <w:pPr>
        <w:pStyle w:val="List3"/>
      </w:pPr>
      <w:r w:rsidRPr="00A768F9">
        <w:t>established clinical proce</w:t>
      </w:r>
      <w:r w:rsidRPr="00A768F9">
        <w:t>dures</w:t>
      </w:r>
    </w:p>
    <w:p w:rsidR="00000000" w:rsidRPr="00A768F9" w:rsidP="00A768F9">
      <w:pPr>
        <w:pStyle w:val="List2"/>
      </w:pPr>
      <w:r w:rsidRPr="00A768F9">
        <w:t>work role boundaries – responsibilities and limitations</w:t>
      </w:r>
    </w:p>
    <w:p w:rsidR="00000000" w:rsidRPr="00A768F9" w:rsidP="00A768F9">
      <w:pPr>
        <w:pStyle w:val="List2"/>
      </w:pPr>
      <w:r w:rsidRPr="00A768F9">
        <w:t>work health and safety</w:t>
      </w:r>
    </w:p>
    <w:p w:rsidR="00000000" w:rsidRPr="00A768F9" w:rsidP="00A768F9">
      <w:pPr>
        <w:pStyle w:val="ListBullet"/>
      </w:pPr>
      <w:r w:rsidRPr="00A768F9">
        <w:t>anatomy and physiology, including:</w:t>
      </w:r>
    </w:p>
    <w:p w:rsidR="00000000" w:rsidRPr="00A768F9" w:rsidP="00A768F9">
      <w:pPr>
        <w:pStyle w:val="List2"/>
      </w:pPr>
      <w:r w:rsidRPr="00A768F9">
        <w:t>structure and function of the following human body systems and their interactions:</w:t>
      </w:r>
    </w:p>
    <w:p w:rsidR="00000000" w:rsidRPr="00A768F9" w:rsidP="00A768F9">
      <w:pPr>
        <w:pStyle w:val="List3"/>
      </w:pPr>
      <w:r w:rsidRPr="00A768F9">
        <w:t>cells, tissues and organs</w:t>
      </w:r>
    </w:p>
    <w:p w:rsidR="00000000" w:rsidRPr="00A768F9" w:rsidP="00A768F9">
      <w:pPr>
        <w:pStyle w:val="List3"/>
      </w:pPr>
      <w:r w:rsidRPr="00A768F9">
        <w:t>cardiovascular system</w:t>
      </w:r>
    </w:p>
    <w:p w:rsidR="00000000" w:rsidRPr="00A768F9" w:rsidP="00A768F9">
      <w:pPr>
        <w:pStyle w:val="List3"/>
      </w:pPr>
      <w:r w:rsidRPr="00A768F9">
        <w:t>respiratory system</w:t>
      </w:r>
    </w:p>
    <w:p w:rsidR="00000000" w:rsidRPr="00A768F9" w:rsidP="00A768F9">
      <w:pPr>
        <w:pStyle w:val="List3"/>
      </w:pPr>
      <w:r w:rsidRPr="00A768F9">
        <w:t>musculo-skeletal system</w:t>
      </w:r>
    </w:p>
    <w:p w:rsidR="00000000" w:rsidRPr="00A768F9" w:rsidP="00A768F9">
      <w:pPr>
        <w:pStyle w:val="List3"/>
      </w:pPr>
      <w:r w:rsidRPr="00A768F9">
        <w:t>endocrine system</w:t>
      </w:r>
    </w:p>
    <w:p w:rsidR="00000000" w:rsidRPr="00A768F9" w:rsidP="00A768F9">
      <w:pPr>
        <w:pStyle w:val="List3"/>
      </w:pPr>
      <w:r w:rsidRPr="00A768F9">
        <w:t>digestive system</w:t>
      </w:r>
    </w:p>
    <w:p w:rsidR="00000000" w:rsidRPr="00A768F9" w:rsidP="00A768F9">
      <w:pPr>
        <w:pStyle w:val="List3"/>
      </w:pPr>
      <w:r w:rsidRPr="00A768F9">
        <w:t>urinary system</w:t>
      </w:r>
    </w:p>
    <w:p w:rsidR="00000000" w:rsidRPr="00A768F9" w:rsidP="00A768F9">
      <w:pPr>
        <w:pStyle w:val="List3"/>
      </w:pPr>
      <w:r w:rsidRPr="00A768F9">
        <w:t>reproductive system</w:t>
      </w:r>
    </w:p>
    <w:p w:rsidR="00000000" w:rsidRPr="00A768F9" w:rsidP="00A768F9">
      <w:pPr>
        <w:pStyle w:val="List3"/>
      </w:pPr>
      <w:r w:rsidRPr="00A768F9">
        <w:t>integumentary system</w:t>
      </w:r>
    </w:p>
    <w:p w:rsidR="00000000" w:rsidRPr="00A768F9" w:rsidP="00A768F9">
      <w:pPr>
        <w:pStyle w:val="List3"/>
      </w:pPr>
      <w:r w:rsidRPr="00A768F9">
        <w:t>lymphatic system</w:t>
      </w:r>
    </w:p>
    <w:p w:rsidR="00000000" w:rsidRPr="00A768F9" w:rsidP="00A768F9">
      <w:pPr>
        <w:pStyle w:val="List3"/>
      </w:pPr>
      <w:r w:rsidRPr="00A768F9">
        <w:t>nervous system, including sensory systems – eye and ear</w:t>
      </w:r>
    </w:p>
    <w:p w:rsidR="00000000" w:rsidRPr="00A768F9" w:rsidP="00A768F9">
      <w:pPr>
        <w:pStyle w:val="List3"/>
      </w:pPr>
      <w:r w:rsidRPr="00A768F9">
        <w:t>the special senses – smell, taste, vision, equilib</w:t>
      </w:r>
      <w:r w:rsidRPr="00A768F9">
        <w:t>rium and hearing</w:t>
      </w:r>
    </w:p>
    <w:p w:rsidR="00000000" w:rsidRPr="00A768F9" w:rsidP="00A768F9">
      <w:pPr>
        <w:pStyle w:val="List3"/>
      </w:pPr>
      <w:r w:rsidRPr="00A768F9">
        <w:t>immune system</w:t>
      </w:r>
    </w:p>
    <w:p w:rsidR="00000000" w:rsidRPr="00A768F9" w:rsidP="00A768F9">
      <w:pPr>
        <w:pStyle w:val="ListBullet"/>
      </w:pPr>
      <w:r w:rsidRPr="00A768F9">
        <w:t>anatomical and medical terminology:</w:t>
      </w:r>
    </w:p>
    <w:p w:rsidR="00000000" w:rsidRPr="00A768F9" w:rsidP="00A768F9">
      <w:pPr>
        <w:pStyle w:val="List2"/>
      </w:pPr>
      <w:r w:rsidRPr="00A768F9">
        <w:t>when referring to the human body</w:t>
      </w:r>
    </w:p>
    <w:p w:rsidR="00000000" w:rsidRPr="00A768F9" w:rsidP="00A768F9">
      <w:pPr>
        <w:pStyle w:val="List2"/>
      </w:pPr>
      <w:r w:rsidRPr="00A768F9">
        <w:t>when taking measurements in different body systems</w:t>
      </w:r>
    </w:p>
    <w:p w:rsidR="00000000" w:rsidRPr="00A768F9" w:rsidP="00A768F9">
      <w:pPr>
        <w:pStyle w:val="ListBullet"/>
      </w:pPr>
      <w:r w:rsidRPr="00A768F9">
        <w:t xml:space="preserve">patient assessment requirements and techniques </w:t>
      </w:r>
    </w:p>
    <w:p w:rsidR="00000000" w:rsidRPr="00A768F9" w:rsidP="00A768F9">
      <w:pPr>
        <w:pStyle w:val="ListBullet"/>
      </w:pPr>
      <w:r w:rsidRPr="00A768F9">
        <w:t>normal values and parameters</w:t>
      </w:r>
    </w:p>
    <w:p w:rsidR="00000000" w:rsidRPr="00A768F9" w:rsidP="00A768F9">
      <w:pPr>
        <w:pStyle w:val="ListBullet"/>
      </w:pPr>
      <w:r w:rsidRPr="00A768F9">
        <w:t>aspects of the common cond</w:t>
      </w:r>
      <w:r w:rsidRPr="00A768F9">
        <w:t>itions listed in the Performance Evidence, including:</w:t>
      </w:r>
    </w:p>
    <w:p w:rsidR="00000000" w:rsidRPr="00A768F9" w:rsidP="00A768F9">
      <w:pPr>
        <w:pStyle w:val="List2"/>
      </w:pPr>
      <w:r w:rsidRPr="00A768F9">
        <w:t>presenting symptoms</w:t>
      </w:r>
    </w:p>
    <w:p w:rsidR="00000000" w:rsidRPr="00A768F9" w:rsidP="00A768F9">
      <w:pPr>
        <w:pStyle w:val="List2"/>
      </w:pPr>
      <w:r w:rsidRPr="00A768F9">
        <w:t>disease process and phases</w:t>
      </w:r>
    </w:p>
    <w:p w:rsidR="00000000" w:rsidRPr="00A768F9" w:rsidP="00A768F9">
      <w:pPr>
        <w:pStyle w:val="List2"/>
      </w:pPr>
      <w:r w:rsidRPr="00A768F9">
        <w:t>treatment modalities and their contraindications</w:t>
      </w:r>
    </w:p>
    <w:p w:rsidR="00000000" w:rsidRPr="00A768F9" w:rsidP="00A768F9">
      <w:pPr>
        <w:pStyle w:val="ListBullet"/>
      </w:pPr>
      <w:r w:rsidRPr="00A768F9">
        <w:t>medical tests and diagnostic procedures and the need for referral</w:t>
      </w:r>
    </w:p>
    <w:p w:rsidR="00000000" w:rsidRPr="00A768F9" w:rsidP="00A768F9">
      <w:pPr>
        <w:pStyle w:val="ListBullet"/>
      </w:pPr>
      <w:r w:rsidRPr="00A768F9">
        <w:t>patient compliance consequences</w:t>
      </w:r>
    </w:p>
    <w:p w:rsidR="00000000" w:rsidRPr="00A768F9" w:rsidP="00A768F9">
      <w:pPr>
        <w:pStyle w:val="ListBullet"/>
      </w:pPr>
      <w:r w:rsidRPr="00A768F9">
        <w:t>principles of clinical assessment, prescribing, and case management</w:t>
      </w:r>
    </w:p>
    <w:p w:rsidR="00000000" w:rsidRPr="00A768F9" w:rsidP="00A768F9">
      <w:pPr>
        <w:pStyle w:val="ListBullet"/>
      </w:pPr>
      <w:r w:rsidRPr="00A768F9">
        <w:t>referral procedure and pathways</w:t>
      </w:r>
    </w:p>
    <w:p w:rsidR="00414065" w:rsidP="00A768F9">
      <w:pPr>
        <w:pStyle w:val="ListBullet"/>
      </w:pPr>
      <w:r w:rsidRPr="00A768F9">
        <w:t>role of other health care providers and support services</w:t>
      </w:r>
    </w:p>
    <w:p w:rsidR="00414065" w:rsidP="00A768F9">
      <w:pPr>
        <w:pStyle w:val="ListBullet"/>
      </w:pPr>
    </w:p>
    <w:p w:rsidR="00000000" w:rsidRPr="00A768F9" w:rsidP="00A768F9">
      <w:pPr>
        <w:pStyle w:val="Heading1"/>
      </w:pPr>
      <w:bookmarkStart w:id="10" w:name="O_785857"/>
      <w:bookmarkEnd w:id="10"/>
      <w:r w:rsidRPr="00A768F9">
        <w:t>Assessment Conditions</w:t>
      </w:r>
    </w:p>
    <w:p w:rsidR="00000000" w:rsidRPr="00A768F9" w:rsidP="00414065">
      <w:pPr>
        <w:pStyle w:val="BodyText"/>
      </w:pPr>
      <w:r w:rsidRPr="00A768F9">
        <w:t>Skills must have been demonstrated in the workplace with th</w:t>
      </w:r>
      <w:r w:rsidRPr="00A768F9">
        <w:t xml:space="preserve">e addition of simulations and scenarios where the full range of contexts and situations have not been provided in the workplace. </w:t>
      </w:r>
    </w:p>
    <w:p w:rsidR="00000000" w:rsidRPr="00A768F9" w:rsidP="00414065">
      <w:pPr>
        <w:pStyle w:val="BodyText"/>
      </w:pPr>
      <w:r w:rsidRPr="00A768F9">
        <w:t xml:space="preserve">The following conditions must be met for this unit: </w:t>
      </w:r>
    </w:p>
    <w:p w:rsidR="00000000" w:rsidRPr="00A768F9" w:rsidP="00A768F9">
      <w:pPr>
        <w:pStyle w:val="ListBullet"/>
      </w:pPr>
      <w:r w:rsidRPr="00A768F9">
        <w:t xml:space="preserve">use of suitable facilities, equipment and resources, including: </w:t>
      </w:r>
    </w:p>
    <w:p w:rsidR="00000000" w:rsidRPr="00A768F9" w:rsidP="00A768F9">
      <w:pPr>
        <w:pStyle w:val="List2"/>
      </w:pPr>
      <w:r w:rsidRPr="00A768F9">
        <w:t>a heal</w:t>
      </w:r>
      <w:r w:rsidRPr="00A768F9">
        <w:t>th centre/clinic/hospital environment with sufficient patient throughput to meet the majority of performance evidence requirements</w:t>
      </w:r>
    </w:p>
    <w:p w:rsidR="00000000" w:rsidRPr="00A768F9" w:rsidP="00A768F9">
      <w:pPr>
        <w:pStyle w:val="List2"/>
      </w:pPr>
      <w:r w:rsidRPr="00A768F9">
        <w:t>casualties (high fidelity simulation, resuscitation mannequins and/or actors)</w:t>
      </w:r>
    </w:p>
    <w:p w:rsidR="00000000" w:rsidRPr="00A768F9" w:rsidP="00A768F9">
      <w:pPr>
        <w:pStyle w:val="List2"/>
      </w:pPr>
      <w:r w:rsidRPr="00A768F9">
        <w:t>clinical documentation</w:t>
      </w:r>
    </w:p>
    <w:p w:rsidR="00000000" w:rsidRPr="00A768F9" w:rsidP="00A768F9">
      <w:pPr>
        <w:pStyle w:val="List2"/>
      </w:pPr>
      <w:r w:rsidRPr="00A768F9">
        <w:t>medical equipment for as</w:t>
      </w:r>
      <w:r w:rsidRPr="00A768F9">
        <w:t>sessment purposes</w:t>
      </w:r>
    </w:p>
    <w:p w:rsidR="00000000" w:rsidRPr="00A768F9" w:rsidP="00A768F9">
      <w:pPr>
        <w:pStyle w:val="List2"/>
      </w:pPr>
      <w:r w:rsidRPr="00A768F9">
        <w:t>equipment and consumables for treatment purposes</w:t>
      </w:r>
    </w:p>
    <w:p w:rsidR="00000000" w:rsidRPr="00A768F9" w:rsidP="00A768F9">
      <w:pPr>
        <w:pStyle w:val="List2"/>
      </w:pPr>
      <w:r w:rsidRPr="00A768F9">
        <w:t>pathology samples/containers requiring labelling</w:t>
      </w:r>
    </w:p>
    <w:p w:rsidR="00000000" w:rsidRPr="00A768F9" w:rsidP="00A768F9">
      <w:pPr>
        <w:pStyle w:val="ListBullet"/>
      </w:pPr>
      <w:r w:rsidRPr="00A768F9">
        <w:t>modelling of industry operating conditions, including:</w:t>
      </w:r>
    </w:p>
    <w:p w:rsidR="00000000" w:rsidRPr="00A768F9" w:rsidP="00A768F9">
      <w:pPr>
        <w:pStyle w:val="List2"/>
      </w:pPr>
      <w:r w:rsidRPr="00A768F9">
        <w:t>a minimum of 2-3 people for the consultation/treatment</w:t>
      </w:r>
    </w:p>
    <w:p w:rsidR="00000000" w:rsidRPr="00A768F9" w:rsidP="00A768F9">
      <w:pPr>
        <w:pStyle w:val="List2"/>
      </w:pPr>
      <w:r w:rsidRPr="00A768F9">
        <w:t>a minimum of 1-2 other personnel supporting the scenario/workplace (i.e. for referrals, ongoing advice)</w:t>
      </w:r>
    </w:p>
    <w:p w:rsidR="00414065" w:rsidP="00414065">
      <w:pPr>
        <w:pStyle w:val="BodyText"/>
      </w:pPr>
      <w:r w:rsidRPr="00A768F9">
        <w:t>Assessors must satisfy the Standards for Registered Training Organisations (RTOs) 2015/AQTF mandatory competency requirements for assessors. In additio</w:t>
      </w:r>
      <w:r w:rsidRPr="00A768F9">
        <w:t>n, assessors must have at least 3 years’ experience as a clinical health professional in a primary healthcare setting.</w:t>
      </w:r>
    </w:p>
    <w:p w:rsidR="00000000" w:rsidRPr="00A768F9" w:rsidP="00A768F9">
      <w:pPr>
        <w:pStyle w:val="Heading1"/>
      </w:pPr>
      <w:bookmarkStart w:id="11" w:name="O_785860"/>
      <w:bookmarkEnd w:id="11"/>
      <w:r w:rsidRPr="00A768F9">
        <w:t>Links</w:t>
      </w:r>
    </w:p>
    <w:p w:rsidR="00000000" w:rsidRPr="00A768F9" w:rsidP="00414065">
      <w:pPr>
        <w:pStyle w:val="BodyText"/>
      </w:pPr>
      <w:r w:rsidRPr="00A768F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71A00">
        <w:rPr>
          <w:rStyle w:val="Hyperlink"/>
        </w:rPr>
        <w:t>https://vetnet.gov.au/Pages/TrainingDocs.aspx?q=ced1390f-48d9-4ab0-bd50-b015e5485705</w:t>
      </w:r>
      <w:r>
        <w:fldChar w:fldCharType="end"/>
      </w:r>
    </w:p>
    <w:p w:rsidR="00000000" w:rsidRPr="00A768F9" w:rsidP="00A768F9"/>
    <w:sectPr w:rsidSect="00A768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F9" w:rsidRPr="00414065" w:rsidP="00414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5" w:rsidP="00A76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4065" w:rsidP="00A768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14065" w:rsidP="00A768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F9" w:rsidP="00A768F9">
    <w:pPr>
      <w:pStyle w:val="Footer"/>
      <w:framePr w:wrap="around"/>
    </w:pPr>
    <w:r>
      <w:fldChar w:fldCharType="begin"/>
    </w:r>
    <w:r>
      <w:instrText xml:space="preserve"> DOCPROPERTY  Subject  \* MERGEFORMAT </w:instrText>
    </w:r>
    <w:r>
      <w:fldChar w:fldCharType="separate"/>
    </w:r>
    <w:r w:rsidR="00414065">
      <w:t>Approved</w:t>
    </w:r>
    <w:r w:rsidR="00414065">
      <w:fldChar w:fldCharType="end"/>
    </w:r>
    <w:r>
      <w:tab/>
      <w:t xml:space="preserve">Page </w:t>
    </w:r>
    <w:r>
      <w:fldChar w:fldCharType="begin"/>
    </w:r>
    <w:r>
      <w:instrText xml:space="preserve"> PAGE  \* Arabic  \* MERGEFORMAT </w:instrText>
    </w:r>
    <w:r>
      <w:fldChar w:fldCharType="separate"/>
    </w:r>
    <w:r w:rsidR="004140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4065">
      <w:rPr>
        <w:noProof/>
      </w:rPr>
      <w:t>5</w:t>
    </w:r>
    <w:r>
      <w:rPr>
        <w:noProof/>
      </w:rPr>
      <w:fldChar w:fldCharType="end"/>
    </w:r>
  </w:p>
  <w:p w:rsidR="00A768F9" w:rsidP="00A768F9">
    <w:pPr>
      <w:pStyle w:val="Footer"/>
      <w:framePr w:wrap="around"/>
    </w:pPr>
    <w:r>
      <w:t xml:space="preserve">© Commonwealth of Australia, </w:t>
    </w:r>
    <w:r>
      <w:fldChar w:fldCharType="begin"/>
    </w:r>
    <w:r>
      <w:instrText xml:space="preserve"> DATE  \@ "yyyy"  \* MERGEFORMAT </w:instrText>
    </w:r>
    <w:r>
      <w:fldChar w:fldCharType="separate"/>
    </w:r>
    <w:r w:rsidR="00414065">
      <w:rPr>
        <w:noProof/>
      </w:rPr>
      <w:t>2025</w:t>
    </w:r>
    <w:r>
      <w:fldChar w:fldCharType="end"/>
    </w:r>
    <w:r>
      <w:tab/>
    </w:r>
    <w:r>
      <w:fldChar w:fldCharType="begin"/>
    </w:r>
    <w:r>
      <w:instrText xml:space="preserve"> DOCPROPERTY  Author  \* MERGEFORMAT </w:instrText>
    </w:r>
    <w:r>
      <w:fldChar w:fldCharType="separate"/>
    </w:r>
    <w:r w:rsidR="00414065">
      <w:t>HumanAbility</w:t>
    </w:r>
    <w:r w:rsidR="00414065">
      <w:fldChar w:fldCharType="end"/>
    </w:r>
  </w:p>
  <w:p w:rsidR="00A768F9" w:rsidP="00A768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8F9" w:rsidRPr="00414065" w:rsidP="00414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65" w:rsidRPr="002D2AF8" w:rsidP="00A768F9">
    <w:pPr>
      <w:pStyle w:val="Header"/>
      <w:framePr w:wrap="around"/>
    </w:pPr>
    <w:r>
      <w:fldChar w:fldCharType="begin"/>
    </w:r>
    <w:r>
      <w:instrText xml:space="preserve"> TITLE   \* MERGEFORMAT </w:instrText>
    </w:r>
    <w:r>
      <w:fldChar w:fldCharType="separate"/>
    </w:r>
    <w:r>
      <w:t>HLTDEF002 Provide treatments for common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4065" w:rsidP="00A768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F9" w:rsidRPr="002D2AF8" w:rsidP="00A768F9">
    <w:pPr>
      <w:pStyle w:val="Header"/>
      <w:framePr w:wrap="around"/>
    </w:pPr>
    <w:r>
      <w:fldChar w:fldCharType="begin"/>
    </w:r>
    <w:r>
      <w:instrText xml:space="preserve"> TITLE   \* MERGEFORMAT </w:instrText>
    </w:r>
    <w:r>
      <w:fldChar w:fldCharType="separate"/>
    </w:r>
    <w:r w:rsidR="00414065">
      <w:t>HLTDEF002 Provide treatments for common conditions</w:t>
    </w:r>
    <w:r w:rsidR="00414065">
      <w:fldChar w:fldCharType="end"/>
    </w:r>
    <w:r>
      <w:tab/>
      <w:t xml:space="preserve">Date this document was generated: </w:t>
    </w:r>
    <w:r>
      <w:fldChar w:fldCharType="begin"/>
    </w:r>
    <w:r>
      <w:instrText xml:space="preserve"> CREATEDATE  \@ "d MMMM yyyy"  \* MERGEFORMAT </w:instrText>
    </w:r>
    <w:r>
      <w:fldChar w:fldCharType="separate"/>
    </w:r>
    <w:r w:rsidR="00414065">
      <w:rPr>
        <w:noProof/>
      </w:rPr>
      <w:t>2 March 2025</w:t>
    </w:r>
    <w:r>
      <w:fldChar w:fldCharType="end"/>
    </w:r>
  </w:p>
  <w:p w:rsidR="00A768F9" w:rsidP="00A768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74C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385F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8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8F9"/>
    <w:pPr>
      <w:spacing w:before="360" w:after="60"/>
      <w:outlineLvl w:val="0"/>
    </w:pPr>
    <w:rPr>
      <w:sz w:val="32"/>
    </w:rPr>
  </w:style>
  <w:style w:type="paragraph" w:styleId="Heading2">
    <w:name w:val="heading 2"/>
    <w:basedOn w:val="HeadingBase"/>
    <w:next w:val="BodyText"/>
    <w:link w:val="Heading2Char"/>
    <w:qFormat/>
    <w:rsid w:val="00A768F9"/>
    <w:pPr>
      <w:keepLines/>
      <w:spacing w:before="240" w:after="120"/>
      <w:outlineLvl w:val="1"/>
    </w:pPr>
    <w:rPr>
      <w:sz w:val="28"/>
      <w:szCs w:val="40"/>
    </w:rPr>
  </w:style>
  <w:style w:type="paragraph" w:styleId="Heading3">
    <w:name w:val="heading 3"/>
    <w:basedOn w:val="HeadingBase"/>
    <w:next w:val="BodyText"/>
    <w:link w:val="Heading3Char"/>
    <w:qFormat/>
    <w:rsid w:val="00A768F9"/>
    <w:pPr>
      <w:spacing w:before="180" w:after="120"/>
      <w:outlineLvl w:val="2"/>
    </w:pPr>
    <w:rPr>
      <w:spacing w:val="-10"/>
      <w:kern w:val="32"/>
    </w:rPr>
  </w:style>
  <w:style w:type="paragraph" w:styleId="Heading4">
    <w:name w:val="heading 4"/>
    <w:basedOn w:val="HeadingBase"/>
    <w:next w:val="BodyText"/>
    <w:link w:val="Heading4Char"/>
    <w:qFormat/>
    <w:rsid w:val="00A768F9"/>
    <w:pPr>
      <w:spacing w:before="160" w:after="120"/>
      <w:outlineLvl w:val="3"/>
    </w:pPr>
    <w:rPr>
      <w:sz w:val="22"/>
    </w:rPr>
  </w:style>
  <w:style w:type="paragraph" w:styleId="Heading5">
    <w:name w:val="heading 5"/>
    <w:basedOn w:val="HeadingBase"/>
    <w:next w:val="Normal"/>
    <w:link w:val="Heading5Char"/>
    <w:qFormat/>
    <w:rsid w:val="00A768F9"/>
    <w:pPr>
      <w:spacing w:before="80"/>
      <w:outlineLvl w:val="4"/>
    </w:pPr>
    <w:rPr>
      <w:color w:val="918585"/>
      <w:sz w:val="20"/>
    </w:rPr>
  </w:style>
  <w:style w:type="paragraph" w:styleId="Heading6">
    <w:name w:val="heading 6"/>
    <w:basedOn w:val="HeadingBase"/>
    <w:next w:val="Normal"/>
    <w:link w:val="Heading6Char"/>
    <w:qFormat/>
    <w:rsid w:val="00A768F9"/>
    <w:pPr>
      <w:spacing w:before="60"/>
      <w:outlineLvl w:val="5"/>
    </w:pPr>
    <w:rPr>
      <w:color w:val="918585"/>
      <w:sz w:val="20"/>
    </w:rPr>
  </w:style>
  <w:style w:type="paragraph" w:styleId="Heading7">
    <w:name w:val="heading 7"/>
    <w:basedOn w:val="Normal"/>
    <w:next w:val="Normal"/>
    <w:link w:val="Heading7Char"/>
    <w:qFormat/>
    <w:rsid w:val="00A768F9"/>
    <w:pPr>
      <w:ind w:left="720"/>
      <w:outlineLvl w:val="6"/>
    </w:pPr>
    <w:rPr>
      <w:i/>
    </w:rPr>
  </w:style>
  <w:style w:type="paragraph" w:styleId="Heading8">
    <w:name w:val="heading 8"/>
    <w:basedOn w:val="Normal"/>
    <w:next w:val="Normal"/>
    <w:link w:val="Heading8Char"/>
    <w:qFormat/>
    <w:rsid w:val="00A768F9"/>
    <w:pPr>
      <w:ind w:left="720"/>
      <w:outlineLvl w:val="7"/>
    </w:pPr>
    <w:rPr>
      <w:i/>
    </w:rPr>
  </w:style>
  <w:style w:type="paragraph" w:styleId="Heading9">
    <w:name w:val="heading 9"/>
    <w:basedOn w:val="Normal"/>
    <w:next w:val="Normal"/>
    <w:link w:val="Heading9Char"/>
    <w:qFormat/>
    <w:rsid w:val="00A768F9"/>
    <w:pPr>
      <w:ind w:left="720"/>
      <w:outlineLvl w:val="8"/>
    </w:pPr>
    <w:rPr>
      <w:i/>
    </w:rPr>
  </w:style>
  <w:style w:type="character" w:default="1" w:styleId="DefaultParagraphFont">
    <w:name w:val="Default Paragraph Font"/>
    <w:uiPriority w:val="1"/>
    <w:unhideWhenUsed/>
    <w:rsid w:val="00A76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8F9"/>
  </w:style>
  <w:style w:type="character" w:customStyle="1" w:styleId="Heading1Char">
    <w:name w:val="Heading 1 Char"/>
    <w:basedOn w:val="DefaultParagraphFont"/>
    <w:link w:val="Heading1"/>
    <w:rsid w:val="00A768F9"/>
    <w:rPr>
      <w:rFonts w:ascii="Times New Roman" w:eastAsia="Times New Roman" w:hAnsi="Times New Roman" w:cs="Times New Roman"/>
      <w:b/>
      <w:sz w:val="32"/>
      <w:szCs w:val="20"/>
      <w:lang w:eastAsia="en-US"/>
    </w:rPr>
  </w:style>
  <w:style w:type="paragraph" w:styleId="BodyText">
    <w:name w:val="Body Text"/>
    <w:basedOn w:val="Normal"/>
    <w:link w:val="BodyTextChar"/>
    <w:rsid w:val="00A768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8F9"/>
    <w:rPr>
      <w:rFonts w:ascii="Times New Roman" w:eastAsia="Times New Roman" w:hAnsi="Times New Roman" w:cs="Times New Roman"/>
      <w:sz w:val="24"/>
      <w:lang w:eastAsia="en-US"/>
    </w:rPr>
  </w:style>
  <w:style w:type="paragraph" w:styleId="ListBullet">
    <w:name w:val="List Bullet"/>
    <w:basedOn w:val="List"/>
    <w:rsid w:val="00A768F9"/>
    <w:pPr>
      <w:numPr>
        <w:numId w:val="11"/>
      </w:numPr>
      <w:tabs>
        <w:tab w:val="clear" w:pos="340"/>
      </w:tabs>
      <w:spacing w:before="40" w:after="40"/>
    </w:pPr>
  </w:style>
  <w:style w:type="character" w:customStyle="1" w:styleId="SpecialBold">
    <w:name w:val="Special Bold"/>
    <w:basedOn w:val="DefaultParagraphFont"/>
    <w:rsid w:val="00A768F9"/>
    <w:rPr>
      <w:b/>
      <w:spacing w:val="0"/>
    </w:rPr>
  </w:style>
  <w:style w:type="character" w:styleId="Emphasis">
    <w:name w:val="Emphasis"/>
    <w:basedOn w:val="DefaultParagraphFont"/>
    <w:qFormat/>
    <w:rsid w:val="00A768F9"/>
    <w:rPr>
      <w:i/>
    </w:rPr>
  </w:style>
  <w:style w:type="paragraph" w:customStyle="1" w:styleId="SuperHeading">
    <w:name w:val="SuperHeading"/>
    <w:basedOn w:val="Normal"/>
    <w:rsid w:val="00A768F9"/>
    <w:pPr>
      <w:spacing w:before="240" w:after="120"/>
      <w:outlineLvl w:val="0"/>
    </w:pPr>
    <w:rPr>
      <w:rFonts w:ascii="Times New Roman" w:hAnsi="Times New Roman"/>
      <w:b/>
      <w:sz w:val="32"/>
    </w:rPr>
  </w:style>
  <w:style w:type="paragraph" w:customStyle="1" w:styleId="AllowPageBreak">
    <w:name w:val="AllowPageBreak"/>
    <w:rsid w:val="00A768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68F9"/>
    <w:pPr>
      <w:tabs>
        <w:tab w:val="left" w:pos="680"/>
      </w:tabs>
      <w:spacing w:before="60" w:after="60"/>
      <w:ind w:left="680" w:hanging="340"/>
    </w:pPr>
  </w:style>
  <w:style w:type="paragraph" w:styleId="List3">
    <w:name w:val="List 3"/>
    <w:basedOn w:val="BodyText"/>
    <w:rsid w:val="00A768F9"/>
    <w:pPr>
      <w:tabs>
        <w:tab w:val="left" w:pos="1021"/>
      </w:tabs>
      <w:spacing w:before="60" w:after="60"/>
      <w:ind w:left="1020" w:hanging="340"/>
    </w:pPr>
  </w:style>
  <w:style w:type="character" w:customStyle="1" w:styleId="Heading2Char">
    <w:name w:val="Heading 2 Char"/>
    <w:basedOn w:val="DefaultParagraphFont"/>
    <w:link w:val="Heading2"/>
    <w:rsid w:val="00A76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8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8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8F9"/>
    <w:rPr>
      <w:rFonts w:ascii="Courier New" w:eastAsia="Times New Roman" w:hAnsi="Courier New" w:cs="Times New Roman"/>
      <w:i/>
      <w:szCs w:val="20"/>
      <w:lang w:eastAsia="en-US"/>
    </w:rPr>
  </w:style>
  <w:style w:type="paragraph" w:customStyle="1" w:styleId="HeadingBase">
    <w:name w:val="Heading Base"/>
    <w:rsid w:val="00A76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8F9"/>
    <w:pPr>
      <w:tabs>
        <w:tab w:val="right" w:leader="dot" w:pos="9072"/>
      </w:tabs>
      <w:ind w:left="567"/>
    </w:pPr>
    <w:rPr>
      <w:szCs w:val="22"/>
    </w:rPr>
  </w:style>
  <w:style w:type="paragraph" w:customStyle="1" w:styleId="TOCBase">
    <w:name w:val="TOC Base"/>
    <w:rsid w:val="00A76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8F9"/>
    <w:pPr>
      <w:tabs>
        <w:tab w:val="right" w:leader="dot" w:pos="9072"/>
      </w:tabs>
      <w:spacing w:before="40" w:after="40"/>
      <w:ind w:left="284"/>
    </w:pPr>
    <w:rPr>
      <w:rFonts w:ascii="Times New Roman" w:hAnsi="Times New Roman"/>
    </w:rPr>
  </w:style>
  <w:style w:type="paragraph" w:styleId="TOC1">
    <w:name w:val="toc 1"/>
    <w:basedOn w:val="TOCBase"/>
    <w:next w:val="Normal"/>
    <w:rsid w:val="00A768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8F9"/>
    <w:rPr>
      <w:rFonts w:ascii="Times New Roman" w:eastAsia="Times New Roman" w:hAnsi="Times New Roman" w:cs="Times New Roman"/>
      <w:sz w:val="16"/>
      <w:lang w:eastAsia="en-US"/>
    </w:rPr>
  </w:style>
  <w:style w:type="paragraph" w:styleId="Title">
    <w:name w:val="Title"/>
    <w:basedOn w:val="HeadingBase"/>
    <w:link w:val="TitleChar"/>
    <w:qFormat/>
    <w:rsid w:val="00A768F9"/>
    <w:pPr>
      <w:spacing w:before="5040"/>
      <w:jc w:val="center"/>
    </w:pPr>
    <w:rPr>
      <w:sz w:val="48"/>
      <w:szCs w:val="72"/>
      <w:lang w:val="en-US"/>
    </w:rPr>
  </w:style>
  <w:style w:type="character" w:customStyle="1" w:styleId="TitleChar">
    <w:name w:val="Title Char"/>
    <w:basedOn w:val="DefaultParagraphFont"/>
    <w:link w:val="Title"/>
    <w:rsid w:val="00A76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8F9"/>
    <w:pPr>
      <w:tabs>
        <w:tab w:val="left" w:pos="3600"/>
        <w:tab w:val="left" w:pos="3958"/>
      </w:tabs>
    </w:pPr>
  </w:style>
  <w:style w:type="paragraph" w:styleId="List">
    <w:name w:val="List"/>
    <w:basedOn w:val="BodyText"/>
    <w:next w:val="BodyText"/>
    <w:rsid w:val="00A768F9"/>
    <w:pPr>
      <w:tabs>
        <w:tab w:val="left" w:pos="340"/>
      </w:tabs>
      <w:spacing w:before="60" w:after="60"/>
      <w:ind w:left="340" w:hanging="340"/>
    </w:pPr>
  </w:style>
  <w:style w:type="paragraph" w:customStyle="1" w:styleId="Note">
    <w:name w:val="Note"/>
    <w:basedOn w:val="BodyText"/>
    <w:rsid w:val="00A76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8F9"/>
    <w:pPr>
      <w:framePr w:wrap="auto" w:hAnchor="text" w:y="6049"/>
    </w:pPr>
    <w:rPr>
      <w:color w:val="000000"/>
      <w:sz w:val="40"/>
    </w:rPr>
  </w:style>
  <w:style w:type="paragraph" w:customStyle="1" w:styleId="TOCTitle">
    <w:name w:val="TOCTitle"/>
    <w:basedOn w:val="Heading1"/>
    <w:rsid w:val="00A768F9"/>
    <w:pPr>
      <w:spacing w:after="240"/>
      <w:jc w:val="center"/>
      <w:outlineLvl w:val="9"/>
    </w:pPr>
    <w:rPr>
      <w:caps/>
    </w:rPr>
  </w:style>
  <w:style w:type="paragraph" w:customStyle="1" w:styleId="Version">
    <w:name w:val="Version"/>
    <w:rsid w:val="00A768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8F9"/>
    <w:pPr>
      <w:numPr>
        <w:numId w:val="12"/>
      </w:numPr>
      <w:tabs>
        <w:tab w:val="clear" w:pos="680"/>
      </w:tabs>
    </w:pPr>
  </w:style>
  <w:style w:type="paragraph" w:styleId="Index1">
    <w:name w:val="index 1"/>
    <w:basedOn w:val="Normal"/>
    <w:next w:val="Normal"/>
    <w:semiHidden/>
    <w:rsid w:val="00A768F9"/>
    <w:pPr>
      <w:keepNext w:val="0"/>
      <w:tabs>
        <w:tab w:val="right" w:pos="4176"/>
      </w:tabs>
      <w:ind w:left="198" w:hanging="198"/>
    </w:pPr>
    <w:rPr>
      <w:rFonts w:ascii="Garamond" w:hAnsi="Garamond"/>
    </w:rPr>
  </w:style>
  <w:style w:type="paragraph" w:styleId="IndexHeading">
    <w:name w:val="index heading"/>
    <w:basedOn w:val="Normal"/>
    <w:next w:val="Index1"/>
    <w:semiHidden/>
    <w:rsid w:val="00A768F9"/>
    <w:pPr>
      <w:spacing w:before="120" w:after="120"/>
    </w:pPr>
    <w:rPr>
      <w:rFonts w:ascii="Arial" w:hAnsi="Arial"/>
      <w:b/>
      <w:color w:val="918585"/>
      <w:sz w:val="24"/>
    </w:rPr>
  </w:style>
  <w:style w:type="paragraph" w:styleId="Header">
    <w:name w:val="header"/>
    <w:basedOn w:val="Normal"/>
    <w:link w:val="HeaderChar"/>
    <w:rsid w:val="00A76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8F9"/>
    <w:rPr>
      <w:rFonts w:ascii="Times New Roman" w:eastAsia="Times New Roman" w:hAnsi="Times New Roman" w:cs="Times New Roman"/>
      <w:sz w:val="16"/>
      <w:szCs w:val="20"/>
      <w:lang w:val="en-GB" w:eastAsia="en-US"/>
    </w:rPr>
  </w:style>
  <w:style w:type="paragraph" w:customStyle="1" w:styleId="Chapter">
    <w:name w:val="Chapter"/>
    <w:basedOn w:val="Normal"/>
    <w:rsid w:val="00A768F9"/>
    <w:pPr>
      <w:spacing w:before="240"/>
    </w:pPr>
    <w:rPr>
      <w:rFonts w:ascii="Times New Roman" w:hAnsi="Times New Roman"/>
      <w:smallCaps/>
      <w:spacing w:val="80"/>
      <w:sz w:val="28"/>
    </w:rPr>
  </w:style>
  <w:style w:type="paragraph" w:customStyle="1" w:styleId="InChapter">
    <w:name w:val="InChapter"/>
    <w:basedOn w:val="Heading3"/>
    <w:rsid w:val="00A768F9"/>
    <w:pPr>
      <w:spacing w:after="240"/>
      <w:outlineLvl w:val="9"/>
    </w:pPr>
    <w:rPr>
      <w:noProof/>
    </w:rPr>
  </w:style>
  <w:style w:type="paragraph" w:styleId="Index2">
    <w:name w:val="index 2"/>
    <w:basedOn w:val="Normal"/>
    <w:next w:val="Normal"/>
    <w:semiHidden/>
    <w:rsid w:val="00A768F9"/>
    <w:pPr>
      <w:tabs>
        <w:tab w:val="right" w:pos="4176"/>
      </w:tabs>
      <w:ind w:left="568" w:hanging="284"/>
    </w:pPr>
    <w:rPr>
      <w:rFonts w:ascii="Garamond" w:hAnsi="Garamond"/>
    </w:rPr>
  </w:style>
  <w:style w:type="paragraph" w:customStyle="1" w:styleId="Byline">
    <w:name w:val="Byline"/>
    <w:rsid w:val="00A76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8F9"/>
    <w:pPr>
      <w:tabs>
        <w:tab w:val="clear" w:pos="3600"/>
        <w:tab w:val="clear" w:pos="3958"/>
      </w:tabs>
      <w:jc w:val="right"/>
    </w:pPr>
  </w:style>
  <w:style w:type="paragraph" w:styleId="Caption">
    <w:name w:val="caption"/>
    <w:basedOn w:val="BodyText"/>
    <w:next w:val="Normal"/>
    <w:qFormat/>
    <w:rsid w:val="00A768F9"/>
    <w:pPr>
      <w:framePr w:w="2268" w:hSpace="181" w:vSpace="181" w:wrap="around" w:vAnchor="text" w:hAnchor="page" w:x="1135" w:y="285" w:anchorLock="1"/>
    </w:pPr>
    <w:rPr>
      <w:i/>
    </w:rPr>
  </w:style>
  <w:style w:type="paragraph" w:customStyle="1" w:styleId="MiniTOCTitle">
    <w:name w:val="MiniTOCTitle"/>
    <w:basedOn w:val="Heading4"/>
    <w:rsid w:val="00A768F9"/>
    <w:pPr>
      <w:spacing w:before="240"/>
      <w:outlineLvl w:val="9"/>
    </w:pPr>
    <w:rPr>
      <w:noProof/>
      <w:sz w:val="24"/>
    </w:rPr>
  </w:style>
  <w:style w:type="paragraph" w:customStyle="1" w:styleId="MiniTOCItem">
    <w:name w:val="MiniTOCItem"/>
    <w:basedOn w:val="ListBullet"/>
    <w:rsid w:val="00A768F9"/>
    <w:pPr>
      <w:numPr>
        <w:numId w:val="0"/>
      </w:numPr>
      <w:tabs>
        <w:tab w:val="right" w:leader="dot" w:pos="6521"/>
      </w:tabs>
      <w:spacing w:before="0" w:after="0"/>
    </w:pPr>
  </w:style>
  <w:style w:type="paragraph" w:customStyle="1" w:styleId="TOFTitle">
    <w:name w:val="TOFTitle"/>
    <w:basedOn w:val="TOCTitle"/>
    <w:rsid w:val="00A768F9"/>
  </w:style>
  <w:style w:type="paragraph" w:styleId="TableofFigures">
    <w:name w:val="table of figures"/>
    <w:basedOn w:val="Normal"/>
    <w:next w:val="Normal"/>
    <w:semiHidden/>
    <w:rsid w:val="00A768F9"/>
    <w:pPr>
      <w:tabs>
        <w:tab w:val="right" w:leader="dot" w:pos="9072"/>
      </w:tabs>
      <w:ind w:left="970" w:hanging="403"/>
    </w:pPr>
    <w:rPr>
      <w:rFonts w:ascii="Times New Roman" w:hAnsi="Times New Roman"/>
      <w:b/>
    </w:rPr>
  </w:style>
  <w:style w:type="paragraph" w:styleId="ListNumber">
    <w:name w:val="List Number"/>
    <w:basedOn w:val="List"/>
    <w:rsid w:val="00A768F9"/>
    <w:pPr>
      <w:numPr>
        <w:numId w:val="14"/>
      </w:numPr>
      <w:tabs>
        <w:tab w:val="clear" w:pos="340"/>
      </w:tabs>
    </w:pPr>
  </w:style>
  <w:style w:type="character" w:customStyle="1" w:styleId="WingdingSymbols">
    <w:name w:val="Wingding Symbols"/>
    <w:rsid w:val="00A768F9"/>
    <w:rPr>
      <w:rFonts w:ascii="Wingdings" w:hAnsi="Wingdings"/>
    </w:rPr>
  </w:style>
  <w:style w:type="paragraph" w:customStyle="1" w:styleId="TableHeading">
    <w:name w:val="Table Heading"/>
    <w:basedOn w:val="HeadingBase"/>
    <w:rsid w:val="00A768F9"/>
    <w:pPr>
      <w:keepLines/>
      <w:pBdr>
        <w:bottom w:val="single" w:sz="6" w:space="1" w:color="918585"/>
      </w:pBdr>
      <w:spacing w:before="240"/>
    </w:pPr>
  </w:style>
  <w:style w:type="character" w:customStyle="1" w:styleId="HotSpot">
    <w:name w:val="HotSpot"/>
    <w:rsid w:val="00A768F9"/>
    <w:rPr>
      <w:color w:val="0033CC"/>
      <w:u w:val="none"/>
    </w:rPr>
  </w:style>
  <w:style w:type="paragraph" w:customStyle="1" w:styleId="BodyTextRight">
    <w:name w:val="Body Text Right"/>
    <w:basedOn w:val="BodyText"/>
    <w:rsid w:val="00A768F9"/>
    <w:pPr>
      <w:spacing w:before="0" w:after="0"/>
      <w:jc w:val="right"/>
    </w:pPr>
  </w:style>
  <w:style w:type="paragraph" w:styleId="Index3">
    <w:name w:val="index 3"/>
    <w:basedOn w:val="ListNumber2"/>
    <w:next w:val="Normal"/>
    <w:semiHidden/>
    <w:rsid w:val="00A768F9"/>
    <w:pPr>
      <w:numPr>
        <w:numId w:val="0"/>
      </w:numPr>
      <w:tabs>
        <w:tab w:val="right" w:leader="dot" w:pos="4176"/>
      </w:tabs>
    </w:pPr>
  </w:style>
  <w:style w:type="paragraph" w:styleId="ListNumber2">
    <w:name w:val="List Number 2"/>
    <w:basedOn w:val="List2"/>
    <w:rsid w:val="00A768F9"/>
    <w:pPr>
      <w:numPr>
        <w:numId w:val="9"/>
      </w:numPr>
      <w:tabs>
        <w:tab w:val="clear" w:pos="1060"/>
      </w:tabs>
    </w:pPr>
  </w:style>
  <w:style w:type="paragraph" w:customStyle="1" w:styleId="MarginNote">
    <w:name w:val="Margin Note"/>
    <w:basedOn w:val="BodyText"/>
    <w:rsid w:val="00A76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8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8F9"/>
    <w:rPr>
      <w:sz w:val="32"/>
    </w:rPr>
  </w:style>
  <w:style w:type="paragraph" w:customStyle="1" w:styleId="HeadingProcedure">
    <w:name w:val="Heading Procedure"/>
    <w:basedOn w:val="HeadingBase"/>
    <w:next w:val="Normal"/>
    <w:rsid w:val="00A768F9"/>
    <w:pPr>
      <w:tabs>
        <w:tab w:val="left" w:pos="0"/>
      </w:tabs>
      <w:spacing w:before="120" w:after="60"/>
    </w:pPr>
    <w:rPr>
      <w:i/>
      <w:color w:val="918585"/>
      <w:sz w:val="22"/>
    </w:rPr>
  </w:style>
  <w:style w:type="paragraph" w:customStyle="1" w:styleId="TableBodyText">
    <w:name w:val="Table Body Text"/>
    <w:basedOn w:val="BodyText"/>
    <w:rsid w:val="00A768F9"/>
    <w:pPr>
      <w:spacing w:before="60" w:after="60"/>
    </w:pPr>
  </w:style>
  <w:style w:type="paragraph" w:styleId="ListContinue">
    <w:name w:val="List Continue"/>
    <w:basedOn w:val="List"/>
    <w:rsid w:val="00A768F9"/>
    <w:pPr>
      <w:ind w:firstLine="0"/>
    </w:pPr>
  </w:style>
  <w:style w:type="paragraph" w:customStyle="1" w:styleId="ListNote">
    <w:name w:val="List Note"/>
    <w:basedOn w:val="List"/>
    <w:rsid w:val="00A768F9"/>
    <w:pPr>
      <w:pBdr>
        <w:top w:val="single" w:sz="6" w:space="2" w:color="918585"/>
        <w:bottom w:val="single" w:sz="6" w:space="2" w:color="918585"/>
      </w:pBdr>
      <w:tabs>
        <w:tab w:val="left" w:pos="1021"/>
      </w:tabs>
      <w:ind w:firstLine="0"/>
    </w:pPr>
  </w:style>
  <w:style w:type="paragraph" w:customStyle="1" w:styleId="Warning">
    <w:name w:val="Warning"/>
    <w:basedOn w:val="BodyText"/>
    <w:rsid w:val="00A768F9"/>
    <w:pPr>
      <w:shd w:val="clear" w:color="auto" w:fill="D9D9D9"/>
      <w:tabs>
        <w:tab w:val="left" w:pos="992"/>
      </w:tabs>
      <w:ind w:left="119" w:right="119"/>
    </w:pPr>
    <w:rPr>
      <w:sz w:val="20"/>
    </w:rPr>
  </w:style>
  <w:style w:type="paragraph" w:customStyle="1" w:styleId="MarginIcons">
    <w:name w:val="Margin Icons"/>
    <w:basedOn w:val="BodyText"/>
    <w:rsid w:val="00A76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8F9"/>
    <w:rPr>
      <w:rFonts w:ascii="Courier New" w:hAnsi="Courier New"/>
    </w:rPr>
  </w:style>
  <w:style w:type="paragraph" w:customStyle="1" w:styleId="NoteBullet">
    <w:name w:val="Note Bullet"/>
    <w:basedOn w:val="Note"/>
    <w:rsid w:val="00A768F9"/>
    <w:pPr>
      <w:tabs>
        <w:tab w:val="clear" w:pos="680"/>
      </w:tabs>
      <w:spacing w:before="60" w:after="60"/>
    </w:pPr>
  </w:style>
  <w:style w:type="paragraph" w:customStyle="1" w:styleId="SubHeading2">
    <w:name w:val="SubHeading2"/>
    <w:basedOn w:val="HeadingBase"/>
    <w:rsid w:val="00A768F9"/>
    <w:pPr>
      <w:spacing w:before="240" w:after="60"/>
    </w:pPr>
    <w:rPr>
      <w:sz w:val="20"/>
    </w:rPr>
  </w:style>
  <w:style w:type="paragraph" w:customStyle="1" w:styleId="SubHeading1">
    <w:name w:val="SubHeading1"/>
    <w:basedOn w:val="HeadingBase"/>
    <w:rsid w:val="00A768F9"/>
    <w:pPr>
      <w:spacing w:before="240" w:after="60"/>
    </w:pPr>
    <w:rPr>
      <w:color w:val="918585"/>
      <w:sz w:val="22"/>
    </w:rPr>
  </w:style>
  <w:style w:type="paragraph" w:customStyle="1" w:styleId="SideHeading">
    <w:name w:val="Side Heading"/>
    <w:basedOn w:val="HeadingBase"/>
    <w:rsid w:val="00A76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8F9"/>
    <w:pPr>
      <w:numPr>
        <w:numId w:val="10"/>
      </w:numPr>
    </w:pPr>
  </w:style>
  <w:style w:type="paragraph" w:styleId="PlainText">
    <w:name w:val="Plain Text"/>
    <w:basedOn w:val="Normal"/>
    <w:link w:val="PlainTextChar"/>
    <w:rsid w:val="00A768F9"/>
    <w:rPr>
      <w:sz w:val="20"/>
    </w:rPr>
  </w:style>
  <w:style w:type="character" w:customStyle="1" w:styleId="PlainTextChar">
    <w:name w:val="Plain Text Char"/>
    <w:basedOn w:val="DefaultParagraphFont"/>
    <w:link w:val="PlainText"/>
    <w:rsid w:val="00A768F9"/>
    <w:rPr>
      <w:rFonts w:ascii="Courier New" w:eastAsia="Times New Roman" w:hAnsi="Courier New" w:cs="Times New Roman"/>
      <w:sz w:val="20"/>
      <w:szCs w:val="20"/>
      <w:lang w:eastAsia="en-US"/>
    </w:rPr>
  </w:style>
  <w:style w:type="character" w:customStyle="1" w:styleId="MenuOption">
    <w:name w:val="Menu Option"/>
    <w:basedOn w:val="DefaultParagraphFont"/>
    <w:rsid w:val="00A768F9"/>
    <w:rPr>
      <w:b/>
      <w:smallCaps/>
    </w:rPr>
  </w:style>
  <w:style w:type="paragraph" w:customStyle="1" w:styleId="TableListNumber">
    <w:name w:val="Table List Number"/>
    <w:basedOn w:val="ListNumber"/>
    <w:rsid w:val="00A768F9"/>
    <w:pPr>
      <w:numPr>
        <w:numId w:val="0"/>
      </w:numPr>
    </w:pPr>
  </w:style>
  <w:style w:type="paragraph" w:styleId="TOC4">
    <w:name w:val="toc 4"/>
    <w:basedOn w:val="TOCBase"/>
    <w:next w:val="Normal"/>
    <w:semiHidden/>
    <w:rsid w:val="00A768F9"/>
    <w:pPr>
      <w:tabs>
        <w:tab w:val="right" w:leader="dot" w:pos="9071"/>
      </w:tabs>
      <w:ind w:left="1701"/>
    </w:pPr>
  </w:style>
  <w:style w:type="paragraph" w:customStyle="1" w:styleId="ListAlpha">
    <w:name w:val="List Alpha"/>
    <w:basedOn w:val="List"/>
    <w:rsid w:val="00A768F9"/>
    <w:pPr>
      <w:numPr>
        <w:numId w:val="8"/>
      </w:numPr>
    </w:pPr>
  </w:style>
  <w:style w:type="paragraph" w:customStyle="1" w:styleId="ListAlpha2">
    <w:name w:val="List Alpha 2"/>
    <w:basedOn w:val="List2"/>
    <w:rsid w:val="00A768F9"/>
    <w:pPr>
      <w:numPr>
        <w:numId w:val="7"/>
      </w:numPr>
    </w:pPr>
  </w:style>
  <w:style w:type="paragraph" w:styleId="List4">
    <w:name w:val="List 4"/>
    <w:basedOn w:val="BodyText"/>
    <w:rsid w:val="00A768F9"/>
    <w:pPr>
      <w:tabs>
        <w:tab w:val="left" w:pos="1361"/>
      </w:tabs>
      <w:spacing w:before="60" w:after="60"/>
      <w:ind w:left="1361" w:hanging="340"/>
    </w:pPr>
  </w:style>
  <w:style w:type="paragraph" w:styleId="List5">
    <w:name w:val="List 5"/>
    <w:basedOn w:val="BodyText"/>
    <w:rsid w:val="00A768F9"/>
    <w:pPr>
      <w:tabs>
        <w:tab w:val="left" w:pos="1701"/>
      </w:tabs>
      <w:spacing w:before="60" w:after="60"/>
      <w:ind w:left="1701" w:hanging="340"/>
    </w:pPr>
  </w:style>
  <w:style w:type="paragraph" w:styleId="ListBullet3">
    <w:name w:val="List Bullet 3"/>
    <w:basedOn w:val="List3"/>
    <w:rsid w:val="00A768F9"/>
    <w:pPr>
      <w:numPr>
        <w:numId w:val="13"/>
      </w:numPr>
      <w:tabs>
        <w:tab w:val="clear" w:pos="1021"/>
      </w:tabs>
      <w:ind w:left="1037" w:hanging="357"/>
    </w:pPr>
  </w:style>
  <w:style w:type="paragraph" w:styleId="ListBullet4">
    <w:name w:val="List Bullet 4"/>
    <w:basedOn w:val="List4"/>
    <w:rsid w:val="00A768F9"/>
    <w:pPr>
      <w:numPr>
        <w:numId w:val="2"/>
      </w:numPr>
      <w:tabs>
        <w:tab w:val="clear" w:pos="1361"/>
      </w:tabs>
    </w:pPr>
  </w:style>
  <w:style w:type="paragraph" w:styleId="ListBullet5">
    <w:name w:val="List Bullet 5"/>
    <w:basedOn w:val="List5"/>
    <w:rsid w:val="00A768F9"/>
    <w:pPr>
      <w:numPr>
        <w:numId w:val="3"/>
      </w:numPr>
    </w:pPr>
  </w:style>
  <w:style w:type="paragraph" w:styleId="ListContinue2">
    <w:name w:val="List Continue 2"/>
    <w:basedOn w:val="List2"/>
    <w:rsid w:val="00A768F9"/>
    <w:pPr>
      <w:ind w:firstLine="0"/>
    </w:pPr>
  </w:style>
  <w:style w:type="paragraph" w:styleId="ListContinue3">
    <w:name w:val="List Continue 3"/>
    <w:basedOn w:val="List3"/>
    <w:rsid w:val="00A768F9"/>
    <w:pPr>
      <w:ind w:left="1021" w:firstLine="0"/>
    </w:pPr>
  </w:style>
  <w:style w:type="paragraph" w:styleId="ListContinue4">
    <w:name w:val="List Continue 4"/>
    <w:basedOn w:val="List4"/>
    <w:rsid w:val="00A768F9"/>
    <w:pPr>
      <w:ind w:firstLine="0"/>
    </w:pPr>
  </w:style>
  <w:style w:type="paragraph" w:styleId="ListContinue5">
    <w:name w:val="List Continue 5"/>
    <w:basedOn w:val="List5"/>
    <w:rsid w:val="00A768F9"/>
    <w:pPr>
      <w:ind w:firstLine="0"/>
    </w:pPr>
  </w:style>
  <w:style w:type="paragraph" w:styleId="ListNumber3">
    <w:name w:val="List Number 3"/>
    <w:basedOn w:val="List3"/>
    <w:rsid w:val="00A768F9"/>
    <w:pPr>
      <w:numPr>
        <w:numId w:val="4"/>
      </w:numPr>
    </w:pPr>
  </w:style>
  <w:style w:type="paragraph" w:styleId="ListNumber4">
    <w:name w:val="List Number 4"/>
    <w:basedOn w:val="List4"/>
    <w:rsid w:val="00A768F9"/>
    <w:pPr>
      <w:numPr>
        <w:numId w:val="5"/>
      </w:numPr>
    </w:pPr>
  </w:style>
  <w:style w:type="paragraph" w:styleId="ListNumber5">
    <w:name w:val="List Number 5"/>
    <w:basedOn w:val="List5"/>
    <w:rsid w:val="00A768F9"/>
    <w:pPr>
      <w:numPr>
        <w:numId w:val="6"/>
      </w:numPr>
    </w:pPr>
  </w:style>
  <w:style w:type="paragraph" w:styleId="BlockText">
    <w:name w:val="Block Text"/>
    <w:basedOn w:val="Normal"/>
    <w:rsid w:val="00A768F9"/>
    <w:pPr>
      <w:spacing w:after="120"/>
      <w:ind w:left="1440" w:right="1440"/>
    </w:pPr>
  </w:style>
  <w:style w:type="character" w:customStyle="1" w:styleId="Subscript">
    <w:name w:val="Subscript"/>
    <w:basedOn w:val="DefaultParagraphFont"/>
    <w:rsid w:val="00A768F9"/>
    <w:rPr>
      <w:sz w:val="16"/>
      <w:vertAlign w:val="subscript"/>
    </w:rPr>
  </w:style>
  <w:style w:type="character" w:customStyle="1" w:styleId="Superscript">
    <w:name w:val="Superscript"/>
    <w:basedOn w:val="DefaultParagraphFont"/>
    <w:rsid w:val="00A768F9"/>
    <w:rPr>
      <w:sz w:val="16"/>
      <w:vertAlign w:val="superscript"/>
    </w:rPr>
  </w:style>
  <w:style w:type="character" w:customStyle="1" w:styleId="Symbols">
    <w:name w:val="Symbols"/>
    <w:basedOn w:val="DefaultParagraphFont"/>
    <w:rsid w:val="00A768F9"/>
    <w:rPr>
      <w:rFonts w:ascii="Symbol" w:hAnsi="Symbol"/>
    </w:rPr>
  </w:style>
  <w:style w:type="character" w:customStyle="1" w:styleId="MenuOptions">
    <w:name w:val="Menu Options"/>
    <w:basedOn w:val="DefaultParagraphFont"/>
    <w:rsid w:val="00A768F9"/>
    <w:rPr>
      <w:rFonts w:ascii="Arial Narrow" w:hAnsi="Arial Narrow"/>
      <w:smallCaps/>
    </w:rPr>
  </w:style>
  <w:style w:type="character" w:customStyle="1" w:styleId="Buttons">
    <w:name w:val="Buttons"/>
    <w:basedOn w:val="DefaultParagraphFont"/>
    <w:rsid w:val="00A768F9"/>
    <w:rPr>
      <w:b/>
    </w:rPr>
  </w:style>
  <w:style w:type="character" w:customStyle="1" w:styleId="Underlined">
    <w:name w:val="Underlined"/>
    <w:basedOn w:val="DefaultParagraphFont"/>
    <w:rsid w:val="00A768F9"/>
    <w:rPr>
      <w:u w:val="single"/>
    </w:rPr>
  </w:style>
  <w:style w:type="paragraph" w:customStyle="1" w:styleId="TableBodyTextRight">
    <w:name w:val="Table Body Text Right"/>
    <w:basedOn w:val="TableBodyText"/>
    <w:rsid w:val="00A768F9"/>
    <w:pPr>
      <w:widowControl w:val="0"/>
      <w:autoSpaceDE w:val="0"/>
      <w:autoSpaceDN w:val="0"/>
      <w:adjustRightInd w:val="0"/>
      <w:jc w:val="right"/>
    </w:pPr>
    <w:rPr>
      <w:rFonts w:cs="Arial"/>
      <w:szCs w:val="18"/>
    </w:rPr>
  </w:style>
  <w:style w:type="paragraph" w:customStyle="1" w:styleId="CopyrightText">
    <w:name w:val="Copyright Text"/>
    <w:basedOn w:val="BodyText"/>
    <w:rsid w:val="00A768F9"/>
    <w:rPr>
      <w:sz w:val="18"/>
    </w:rPr>
  </w:style>
  <w:style w:type="paragraph" w:customStyle="1" w:styleId="BodySmallRight">
    <w:name w:val="Body Small Right"/>
    <w:basedOn w:val="BodyTextRight"/>
    <w:rsid w:val="00A768F9"/>
    <w:rPr>
      <w:sz w:val="18"/>
      <w:szCs w:val="18"/>
    </w:rPr>
  </w:style>
  <w:style w:type="paragraph" w:customStyle="1" w:styleId="MarginEdition">
    <w:name w:val="Margin Edition"/>
    <w:basedOn w:val="MarginNote"/>
    <w:rsid w:val="00A768F9"/>
    <w:pPr>
      <w:spacing w:before="0" w:after="0"/>
    </w:pPr>
    <w:rPr>
      <w:rFonts w:ascii="Times New Roman" w:hAnsi="Times New Roman"/>
      <w:color w:val="999999"/>
    </w:rPr>
  </w:style>
  <w:style w:type="paragraph" w:customStyle="1" w:styleId="Spacer">
    <w:name w:val="Spacer"/>
    <w:basedOn w:val="Normal"/>
    <w:rsid w:val="00A768F9"/>
    <w:rPr>
      <w:sz w:val="2"/>
      <w:szCs w:val="2"/>
    </w:rPr>
  </w:style>
  <w:style w:type="character" w:customStyle="1" w:styleId="Small">
    <w:name w:val="Small"/>
    <w:basedOn w:val="DefaultParagraphFont"/>
    <w:rsid w:val="00A768F9"/>
    <w:rPr>
      <w:sz w:val="16"/>
    </w:rPr>
  </w:style>
  <w:style w:type="paragraph" w:customStyle="1" w:styleId="WideTable">
    <w:name w:val="Wide Table"/>
    <w:basedOn w:val="Normal"/>
    <w:rsid w:val="00A768F9"/>
    <w:pPr>
      <w:ind w:left="-1418"/>
    </w:pPr>
    <w:rPr>
      <w:sz w:val="2"/>
      <w:szCs w:val="2"/>
    </w:rPr>
  </w:style>
  <w:style w:type="character" w:styleId="PageNumber">
    <w:name w:val="page number"/>
    <w:basedOn w:val="DefaultParagraphFont"/>
    <w:rsid w:val="00A768F9"/>
  </w:style>
  <w:style w:type="paragraph" w:styleId="Quote">
    <w:name w:val="Quote"/>
    <w:basedOn w:val="Heading1"/>
    <w:link w:val="QuoteChar"/>
    <w:qFormat/>
    <w:rsid w:val="00A768F9"/>
    <w:rPr>
      <w:b w:val="0"/>
      <w:sz w:val="72"/>
      <w:szCs w:val="72"/>
      <w:lang w:val="en-NZ"/>
    </w:rPr>
  </w:style>
  <w:style w:type="character" w:customStyle="1" w:styleId="QuoteChar">
    <w:name w:val="Quote Char"/>
    <w:basedOn w:val="DefaultParagraphFont"/>
    <w:link w:val="Quote"/>
    <w:rsid w:val="00A76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8F9"/>
    <w:pPr>
      <w:pageBreakBefore/>
    </w:pPr>
  </w:style>
  <w:style w:type="paragraph" w:customStyle="1" w:styleId="Border">
    <w:name w:val="Border"/>
    <w:basedOn w:val="Normal"/>
    <w:qFormat/>
    <w:rsid w:val="00A76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8F9"/>
    <w:rPr>
      <w:b/>
      <w:bCs/>
      <w:i/>
      <w:iCs/>
      <w:color w:val="auto"/>
    </w:rPr>
  </w:style>
  <w:style w:type="paragraph" w:styleId="IntenseQuote">
    <w:name w:val="Intense Quote"/>
    <w:basedOn w:val="Normal"/>
    <w:next w:val="Normal"/>
    <w:link w:val="IntenseQuoteChar"/>
    <w:uiPriority w:val="30"/>
    <w:qFormat/>
    <w:rsid w:val="00A76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8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8F9"/>
    <w:rPr>
      <w:smallCaps/>
      <w:color w:val="auto"/>
      <w:u w:val="single"/>
    </w:rPr>
  </w:style>
  <w:style w:type="character" w:styleId="IntenseReference">
    <w:name w:val="Intense Reference"/>
    <w:basedOn w:val="DefaultParagraphFont"/>
    <w:uiPriority w:val="32"/>
    <w:qFormat/>
    <w:rsid w:val="00A768F9"/>
    <w:rPr>
      <w:b/>
      <w:bCs/>
      <w:smallCaps/>
      <w:color w:val="auto"/>
      <w:spacing w:val="5"/>
      <w:u w:val="single"/>
    </w:rPr>
  </w:style>
  <w:style w:type="paragraph" w:customStyle="1" w:styleId="2ColumnHeading">
    <w:name w:val="2Column Heading"/>
    <w:basedOn w:val="BodyText"/>
    <w:qFormat/>
    <w:rsid w:val="00A768F9"/>
    <w:pPr>
      <w:spacing w:after="60"/>
      <w:ind w:left="-2268"/>
    </w:pPr>
    <w:rPr>
      <w:b/>
    </w:rPr>
  </w:style>
  <w:style w:type="paragraph" w:customStyle="1" w:styleId="Heading1TOC">
    <w:name w:val="Heading1 TOC"/>
    <w:basedOn w:val="Normal"/>
    <w:qFormat/>
    <w:rsid w:val="00A768F9"/>
    <w:pPr>
      <w:spacing w:before="240" w:after="120"/>
    </w:pPr>
    <w:rPr>
      <w:rFonts w:ascii="Times New Roman" w:hAnsi="Times New Roman"/>
      <w:b/>
      <w:sz w:val="32"/>
    </w:rPr>
  </w:style>
  <w:style w:type="paragraph" w:customStyle="1" w:styleId="Heading2TOC">
    <w:name w:val="Heading2 TOC"/>
    <w:basedOn w:val="Normal"/>
    <w:qFormat/>
    <w:rsid w:val="00A768F9"/>
    <w:pPr>
      <w:spacing w:before="240" w:after="60"/>
    </w:pPr>
    <w:rPr>
      <w:rFonts w:ascii="Times New Roman" w:hAnsi="Times New Roman"/>
      <w:b/>
      <w:sz w:val="28"/>
    </w:rPr>
  </w:style>
  <w:style w:type="character" w:customStyle="1" w:styleId="Underline">
    <w:name w:val="Underline"/>
    <w:basedOn w:val="DefaultParagraphFont"/>
    <w:qFormat/>
    <w:rsid w:val="00A768F9"/>
    <w:rPr>
      <w:u w:val="single"/>
    </w:rPr>
  </w:style>
  <w:style w:type="character" w:customStyle="1" w:styleId="BoldandItalics">
    <w:name w:val="Bold and Italics"/>
    <w:qFormat/>
    <w:rsid w:val="00A768F9"/>
    <w:rPr>
      <w:b/>
      <w:i/>
      <w:u w:val="none"/>
    </w:rPr>
  </w:style>
  <w:style w:type="paragraph" w:styleId="BalloonText">
    <w:name w:val="Balloon Text"/>
    <w:basedOn w:val="Normal"/>
    <w:link w:val="BalloonTextChar"/>
    <w:rsid w:val="00A768F9"/>
    <w:rPr>
      <w:rFonts w:ascii="Tahoma" w:hAnsi="Tahoma" w:cs="Tahoma"/>
      <w:sz w:val="16"/>
      <w:szCs w:val="16"/>
    </w:rPr>
  </w:style>
  <w:style w:type="character" w:customStyle="1" w:styleId="BalloonTextChar">
    <w:name w:val="Balloon Text Char"/>
    <w:basedOn w:val="DefaultParagraphFont"/>
    <w:link w:val="BalloonText"/>
    <w:rsid w:val="00A768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8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8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8F9"/>
    <w:rPr>
      <w:b/>
      <w:color w:val="660033"/>
      <w:spacing w:val="0"/>
    </w:rPr>
  </w:style>
  <w:style w:type="paragraph" w:customStyle="1" w:styleId="Nameditemlist">
    <w:name w:val="Named item list"/>
    <w:basedOn w:val="BodyText"/>
    <w:qFormat/>
    <w:rsid w:val="00A768F9"/>
    <w:pPr>
      <w:tabs>
        <w:tab w:val="left" w:pos="2835"/>
      </w:tabs>
      <w:ind w:left="2835" w:hanging="2835"/>
    </w:pPr>
  </w:style>
  <w:style w:type="paragraph" w:customStyle="1" w:styleId="BodyTextnopadding">
    <w:name w:val="Body Text no padding"/>
    <w:basedOn w:val="BodyText"/>
    <w:qFormat/>
    <w:rsid w:val="00A768F9"/>
    <w:pPr>
      <w:spacing w:before="0" w:after="0"/>
    </w:pPr>
  </w:style>
  <w:style w:type="paragraph" w:customStyle="1" w:styleId="BodyTextBold">
    <w:name w:val="Body Text Bold"/>
    <w:basedOn w:val="BodyText"/>
    <w:qFormat/>
    <w:rsid w:val="00A768F9"/>
    <w:rPr>
      <w:b/>
    </w:rPr>
  </w:style>
  <w:style w:type="character" w:styleId="Hyperlink">
    <w:name w:val="Hyperlink"/>
    <w:basedOn w:val="DefaultParagraphFont"/>
    <w:uiPriority w:val="99"/>
    <w:unhideWhenUsed/>
    <w:rsid w:val="00414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7927</Characters>
  <Application>Microsoft Office Word</Application>
  <DocSecurity>0</DocSecurity>
  <Lines>255</Lines>
  <Paragraphs>190</Paragraphs>
  <ScaleCrop>false</ScaleCrop>
  <Company>Author-it Software Corporation Ltd.</Company>
  <LinksUpToDate>false</LinksUpToDate>
  <CharactersWithSpaces>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HLTDEF002 Provide treatments for common conditions</dc:title>
  <dc:subject>Approved</dc:subject>
  <dc:creator>HumanAbility</dc:creator>
  <cp:keywords>Release: 1</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