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138" w:rsidP="00A8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HLTCCD007 Undertake moderately complex clinical coding</w:t>
      </w:r>
      <w:r>
        <w:fldChar w:fldCharType="end"/>
      </w:r>
    </w:p>
    <w:p w:rsidR="00A80138" w:rsidP="00A80138">
      <w:pPr>
        <w:pStyle w:val="Version"/>
        <w:sectPr w:rsidSect="00A90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0967" w:rsidP="00A90967">
      <w:pPr>
        <w:pStyle w:val="SuperHeading"/>
      </w:pPr>
      <w:r w:rsidRPr="00A90967">
        <w:t>Assessment Requirements for HLTCCD007 Undertake moderately complex clinical coding</w:t>
      </w:r>
    </w:p>
    <w:p w:rsidR="00000000" w:rsidRPr="00A90967" w:rsidP="00A90967">
      <w:pPr>
        <w:pStyle w:val="Heading1"/>
      </w:pPr>
      <w:bookmarkStart w:id="1" w:name="O_1200035"/>
      <w:bookmarkEnd w:id="1"/>
      <w:r w:rsidRPr="00A909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90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967" w:rsidP="00A90967">
            <w:pPr>
              <w:pStyle w:val="BodyText"/>
            </w:pPr>
            <w:r w:rsidRPr="00A9096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967">
            <w:pPr>
              <w:pStyle w:val="BodyText"/>
              <w:rPr>
                <w:lang w:val="en-NZ"/>
              </w:rPr>
            </w:pPr>
            <w:r w:rsidRPr="00A90967">
              <w:rPr>
                <w:rStyle w:val="SpecialBold"/>
              </w:rPr>
              <w:t>Comments</w:t>
            </w:r>
          </w:p>
        </w:tc>
      </w:tr>
      <w:tr w:rsidTr="00A90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67">
            <w:pPr>
              <w:pStyle w:val="BodyText"/>
              <w:rPr>
                <w:lang w:val="en-NZ"/>
              </w:rPr>
            </w:pPr>
            <w:r w:rsidRPr="00A9096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67" w:rsidP="00A90967">
            <w:pPr>
              <w:pStyle w:val="BodyText"/>
            </w:pPr>
            <w:r w:rsidRPr="00A90967">
              <w:t xml:space="preserve">Release 2 HLTCCD007 Undertake moderately complex clinical coding supersedes and is equivalent to Release 1 HLTCCD007 Undertake moderately complex clinical coding. </w:t>
            </w:r>
          </w:p>
          <w:p w:rsidR="00000000" w:rsidRPr="00A90967" w:rsidP="00A90967">
            <w:pPr>
              <w:pStyle w:val="BodyText"/>
            </w:pPr>
            <w:r w:rsidRPr="00A90967">
              <w:t>Updated:</w:t>
            </w:r>
          </w:p>
          <w:p w:rsidR="00000000" w:rsidP="00A90967">
            <w:pPr>
              <w:pStyle w:val="BodyText"/>
              <w:rPr>
                <w:lang w:val="en-NZ"/>
              </w:rPr>
            </w:pPr>
            <w:r w:rsidRPr="00A90967">
              <w:t>Mapping details and minor corrections.</w:t>
            </w:r>
          </w:p>
        </w:tc>
      </w:tr>
      <w:tr w:rsidTr="00A90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67">
            <w:pPr>
              <w:pStyle w:val="BodyText"/>
              <w:rPr>
                <w:lang w:val="en-NZ"/>
              </w:rPr>
            </w:pPr>
            <w:r w:rsidRPr="00A9096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67" w:rsidP="00A90967">
            <w:pPr>
              <w:pStyle w:val="BodyText"/>
            </w:pPr>
            <w:r w:rsidRPr="00A90967">
              <w:t>HLTCCD007 Undertake moderately co</w:t>
            </w:r>
            <w:r w:rsidRPr="00A90967">
              <w:t>mplex clinical coding supersedes and is not equivalent to HLTADM006 Undertake complex clinical coding.</w:t>
            </w:r>
          </w:p>
        </w:tc>
      </w:tr>
    </w:tbl>
    <w:p w:rsidR="00000000" w:rsidRPr="00A90967" w:rsidP="00A90967">
      <w:pPr>
        <w:pStyle w:val="BodyText"/>
      </w:pPr>
    </w:p>
    <w:p w:rsidR="00000000" w:rsidRPr="00A90967" w:rsidP="00A90967">
      <w:pPr>
        <w:pStyle w:val="AllowPageBreak"/>
      </w:pPr>
    </w:p>
    <w:p w:rsidR="00000000" w:rsidRPr="00A90967" w:rsidP="00A90967">
      <w:pPr>
        <w:pStyle w:val="Heading1"/>
      </w:pPr>
      <w:bookmarkStart w:id="2" w:name="O_1200034"/>
      <w:bookmarkEnd w:id="2"/>
      <w:r w:rsidRPr="00A90967">
        <w:t>Performance Evidence</w:t>
      </w:r>
    </w:p>
    <w:p w:rsidR="00000000" w:rsidRPr="00A90967" w:rsidP="00A80138">
      <w:pPr>
        <w:pStyle w:val="BodyText"/>
      </w:pPr>
      <w:r w:rsidRPr="00A90967">
        <w:t>Evidence of the ability to complete tasks outlined in elements and p</w:t>
      </w:r>
      <w:r w:rsidRPr="00A90967">
        <w:t>erformance criteria of this unit in the context of the job role, and:</w:t>
      </w:r>
    </w:p>
    <w:p w:rsidR="00000000" w:rsidRPr="00A90967" w:rsidP="00A90967">
      <w:pPr>
        <w:pStyle w:val="ListBullet"/>
      </w:pPr>
      <w:r w:rsidRPr="00A90967">
        <w:t>use current coding manuals and standards to produce coded clinical data from moderately complex patient health care records for at least five episodes of care for each of the following:</w:t>
      </w:r>
    </w:p>
    <w:p w:rsidR="00000000" w:rsidRPr="00A90967" w:rsidP="00A90967">
      <w:pPr>
        <w:pStyle w:val="ListBullet2"/>
      </w:pPr>
      <w:r w:rsidRPr="00A90967">
        <w:t>infectious and parasitic diseases</w:t>
      </w:r>
    </w:p>
    <w:p w:rsidR="00000000" w:rsidRPr="00A90967" w:rsidP="00A90967">
      <w:pPr>
        <w:pStyle w:val="ListBullet2"/>
      </w:pPr>
      <w:r w:rsidRPr="00A90967">
        <w:t>neoplasms</w:t>
      </w:r>
    </w:p>
    <w:p w:rsidR="00000000" w:rsidRPr="00A90967" w:rsidP="00A90967">
      <w:pPr>
        <w:pStyle w:val="ListBullet2"/>
      </w:pPr>
      <w:r w:rsidRPr="00A90967">
        <w:t>diseases of the blood and blood-forming organs and certain disorders involving the immune mechanism</w:t>
      </w:r>
    </w:p>
    <w:p w:rsidR="00000000" w:rsidRPr="00A90967" w:rsidP="00A90967">
      <w:pPr>
        <w:pStyle w:val="ListBullet2"/>
      </w:pPr>
      <w:r w:rsidRPr="00A90967">
        <w:t>endocrine, nutritional and metabolic diseases</w:t>
      </w:r>
    </w:p>
    <w:p w:rsidR="00000000" w:rsidRPr="00A90967" w:rsidP="00A90967">
      <w:pPr>
        <w:pStyle w:val="ListBullet2"/>
      </w:pPr>
      <w:r w:rsidRPr="00A90967">
        <w:t>mental and behavioural disorders</w:t>
      </w:r>
    </w:p>
    <w:p w:rsidR="00000000" w:rsidRPr="00A90967" w:rsidP="00A90967">
      <w:pPr>
        <w:pStyle w:val="ListBullet2"/>
      </w:pPr>
      <w:r w:rsidRPr="00A90967">
        <w:t>diseases of the nervous system</w:t>
      </w:r>
    </w:p>
    <w:p w:rsidR="00000000" w:rsidRPr="00A90967" w:rsidP="00A90967">
      <w:pPr>
        <w:pStyle w:val="ListBullet2"/>
      </w:pPr>
      <w:r w:rsidRPr="00A90967">
        <w:t>diseases of the eye and adnexa</w:t>
      </w:r>
    </w:p>
    <w:p w:rsidR="00000000" w:rsidRPr="00A90967" w:rsidP="00A90967">
      <w:pPr>
        <w:pStyle w:val="ListBullet2"/>
      </w:pPr>
      <w:r w:rsidRPr="00A90967">
        <w:t>diseases of the ear and mastoid process</w:t>
      </w:r>
    </w:p>
    <w:p w:rsidR="00000000" w:rsidRPr="00A90967" w:rsidP="00A90967">
      <w:pPr>
        <w:pStyle w:val="ListBullet2"/>
      </w:pPr>
      <w:r w:rsidRPr="00A90967">
        <w:t>diseases of the circulatory system</w:t>
      </w:r>
    </w:p>
    <w:p w:rsidR="00000000" w:rsidRPr="00A90967" w:rsidP="00A90967">
      <w:pPr>
        <w:pStyle w:val="ListBullet2"/>
      </w:pPr>
      <w:r w:rsidRPr="00A90967">
        <w:t>diseases of the respiratory system</w:t>
      </w:r>
    </w:p>
    <w:p w:rsidR="00000000" w:rsidRPr="00A90967" w:rsidP="00A90967">
      <w:pPr>
        <w:pStyle w:val="ListBullet2"/>
      </w:pPr>
      <w:r w:rsidRPr="00A90967">
        <w:t>diseases of the digestive system</w:t>
      </w:r>
    </w:p>
    <w:p w:rsidR="00000000" w:rsidRPr="00A90967" w:rsidP="00A90967">
      <w:pPr>
        <w:pStyle w:val="ListBullet2"/>
      </w:pPr>
      <w:r w:rsidRPr="00A90967">
        <w:t>diseases of the skin and subcutaneous tissue</w:t>
      </w:r>
    </w:p>
    <w:p w:rsidR="00000000" w:rsidRPr="00A90967" w:rsidP="00A90967">
      <w:pPr>
        <w:pStyle w:val="ListBullet2"/>
      </w:pPr>
      <w:r w:rsidRPr="00A90967">
        <w:t>diseases of the musculoskeletal system and connective tissue</w:t>
      </w:r>
    </w:p>
    <w:p w:rsidR="00000000" w:rsidRPr="00A90967" w:rsidP="00A90967">
      <w:pPr>
        <w:pStyle w:val="ListBullet2"/>
      </w:pPr>
      <w:r w:rsidRPr="00A90967">
        <w:t>diseases of the genitourinary system</w:t>
      </w:r>
    </w:p>
    <w:p w:rsidR="00000000" w:rsidRPr="00A90967" w:rsidP="00A90967">
      <w:pPr>
        <w:pStyle w:val="ListBullet2"/>
      </w:pPr>
      <w:r w:rsidRPr="00A90967">
        <w:t>pregnancy, childbirth and the puerperium conditions originating in the perinatal period including congenital malformations, deformations and chromosomal abnor</w:t>
      </w:r>
      <w:r w:rsidRPr="00A90967">
        <w:t>malities</w:t>
      </w:r>
    </w:p>
    <w:p w:rsidR="00000000" w:rsidRPr="00A90967" w:rsidP="00A90967">
      <w:pPr>
        <w:pStyle w:val="ListBullet2"/>
      </w:pPr>
      <w:r w:rsidRPr="00A90967">
        <w:t>symptoms, signs and abnormal clinical and laboratory findings not elsewhere classified</w:t>
      </w:r>
    </w:p>
    <w:p w:rsidR="00000000" w:rsidRPr="00A90967" w:rsidP="00A90967">
      <w:pPr>
        <w:pStyle w:val="ListBullet2"/>
      </w:pPr>
      <w:r w:rsidRPr="00A90967">
        <w:t>injury, poisoning and causes of morbidity and mortality</w:t>
      </w:r>
    </w:p>
    <w:p w:rsidR="00000000" w:rsidRPr="00A90967" w:rsidP="00A90967">
      <w:pPr>
        <w:pStyle w:val="ListBullet"/>
      </w:pPr>
      <w:r w:rsidRPr="00A90967">
        <w:t>for each of the above, record, edit, amend and maintain validity of coded clinical data according to cu</w:t>
      </w:r>
      <w:r w:rsidRPr="00A90967">
        <w:t>rrent classification standards and conventions</w:t>
      </w:r>
    </w:p>
    <w:p w:rsidR="00000000" w:rsidRPr="00A90967" w:rsidP="00A90967">
      <w:pPr>
        <w:pStyle w:val="ListBullet"/>
      </w:pPr>
      <w:r w:rsidRPr="00A90967">
        <w:t>for the above, episodes of care should collectively include the following:</w:t>
      </w:r>
    </w:p>
    <w:p w:rsidR="00000000" w:rsidRPr="00A90967" w:rsidP="00A90967">
      <w:pPr>
        <w:pStyle w:val="ListBullet2"/>
      </w:pPr>
      <w:r w:rsidRPr="00A90967">
        <w:t>differing lengths of stay</w:t>
      </w:r>
    </w:p>
    <w:p w:rsidR="00000000" w:rsidRPr="00A90967" w:rsidP="00A90967">
      <w:pPr>
        <w:pStyle w:val="ListBullet2"/>
      </w:pPr>
      <w:r w:rsidRPr="00A90967">
        <w:t>both acute and chronic forms of a disease or condition</w:t>
      </w:r>
    </w:p>
    <w:p w:rsidR="00000000" w:rsidRPr="00A90967" w:rsidP="00A90967">
      <w:pPr>
        <w:pStyle w:val="ListBullet2"/>
      </w:pPr>
      <w:r w:rsidRPr="00A90967">
        <w:t>different care types</w:t>
      </w:r>
    </w:p>
    <w:p w:rsidR="00000000" w:rsidRPr="00A90967" w:rsidP="00A90967">
      <w:pPr>
        <w:pStyle w:val="ListBullet2"/>
      </w:pPr>
      <w:r w:rsidRPr="00A90967">
        <w:t>with disease or condition in di</w:t>
      </w:r>
      <w:r w:rsidRPr="00A90967">
        <w:t>fferent contexts including co-existing with multiple comorbidities and complications</w:t>
      </w:r>
    </w:p>
    <w:p w:rsidR="00000000" w:rsidRPr="00A90967" w:rsidP="00A90967">
      <w:pPr>
        <w:pStyle w:val="ListBullet"/>
      </w:pPr>
      <w:r w:rsidRPr="00A90967">
        <w:t>participate in at least one coding audit of own work and:</w:t>
      </w:r>
    </w:p>
    <w:p w:rsidR="00000000" w:rsidRPr="00A90967" w:rsidP="00A90967">
      <w:pPr>
        <w:pStyle w:val="ListBullet2"/>
      </w:pPr>
      <w:r w:rsidRPr="00A90967">
        <w:t>identify type of coding audit and its purpose and prepare relevant patient health care records</w:t>
      </w:r>
    </w:p>
    <w:p w:rsidR="00000000" w:rsidRPr="00A90967" w:rsidP="00A90967">
      <w:pPr>
        <w:pStyle w:val="ListBullet2"/>
      </w:pPr>
      <w:r w:rsidRPr="00A90967">
        <w:t>respond to coding audit findings addressing any discrepancies.</w:t>
      </w:r>
    </w:p>
    <w:p w:rsidR="00000000" w:rsidRPr="00A90967" w:rsidP="00A90967">
      <w:pPr>
        <w:pStyle w:val="ListBullet2"/>
      </w:pPr>
      <w:r w:rsidRPr="00A90967">
        <w:t>meet organisational requirements for coding performance including not exceeding acceptable percentage error rate.</w:t>
      </w:r>
    </w:p>
    <w:p w:rsidR="00000000" w:rsidRPr="00A90967" w:rsidP="00A90967">
      <w:pPr>
        <w:pStyle w:val="AllowPageBreak"/>
      </w:pPr>
    </w:p>
    <w:p w:rsidR="00000000" w:rsidRPr="00A90967" w:rsidP="00A90967">
      <w:pPr>
        <w:pStyle w:val="Heading1"/>
      </w:pPr>
      <w:bookmarkStart w:id="3" w:name="O_1200033"/>
      <w:bookmarkEnd w:id="3"/>
      <w:r w:rsidRPr="00A90967">
        <w:t>Knowledge Evidence</w:t>
      </w:r>
    </w:p>
    <w:p w:rsidR="00000000" w:rsidRPr="00A90967" w:rsidP="00A80138">
      <w:pPr>
        <w:pStyle w:val="BodyText"/>
      </w:pPr>
      <w:r w:rsidRPr="00A90967">
        <w:t>Demonstrated knowledge required to comple</w:t>
      </w:r>
      <w:r w:rsidRPr="00A90967">
        <w:t>te the tasks outlined in elements and performance criteria of this unit:</w:t>
      </w:r>
    </w:p>
    <w:p w:rsidR="00000000" w:rsidRPr="00A90967" w:rsidP="00A90967">
      <w:pPr>
        <w:pStyle w:val="ListBullet"/>
      </w:pPr>
      <w:r w:rsidRPr="00A90967">
        <w:t>Australian and State or Territory clinical coding standards and protocols</w:t>
      </w:r>
    </w:p>
    <w:p w:rsidR="00000000" w:rsidRPr="00A90967" w:rsidP="00A90967">
      <w:pPr>
        <w:pStyle w:val="ListBullet"/>
      </w:pPr>
      <w:r w:rsidRPr="00A90967">
        <w:t>rules and conventions applied to clinical data for coding</w:t>
      </w:r>
    </w:p>
    <w:p w:rsidR="00000000" w:rsidRPr="00A90967" w:rsidP="00A90967">
      <w:pPr>
        <w:pStyle w:val="ListBullet"/>
      </w:pPr>
      <w:r w:rsidRPr="00A90967">
        <w:t>sequencing protocols for coding, including those f</w:t>
      </w:r>
      <w:r w:rsidRPr="00A90967">
        <w:t>or principal, and additional diagnoses and interventions</w:t>
      </w:r>
    </w:p>
    <w:p w:rsidR="00000000" w:rsidRPr="00A90967" w:rsidP="00A90967">
      <w:pPr>
        <w:pStyle w:val="ListBullet"/>
      </w:pPr>
      <w:r w:rsidRPr="00A90967">
        <w:t>timescales within which coding must take place</w:t>
      </w:r>
    </w:p>
    <w:p w:rsidR="00000000" w:rsidRPr="00A90967" w:rsidP="00A90967">
      <w:pPr>
        <w:pStyle w:val="ListBullet"/>
      </w:pPr>
      <w:r w:rsidRPr="00A90967">
        <w:t>key performance indicators (KPI’s) and quality indicators for coded clinical data</w:t>
      </w:r>
    </w:p>
    <w:p w:rsidR="00000000" w:rsidRPr="00A90967" w:rsidP="00A90967">
      <w:pPr>
        <w:pStyle w:val="ListBullet"/>
      </w:pPr>
      <w:r w:rsidRPr="00A90967">
        <w:t>classifications and nomenclature for coding</w:t>
      </w:r>
    </w:p>
    <w:p w:rsidR="00000000" w:rsidRPr="00A90967" w:rsidP="00A90967">
      <w:pPr>
        <w:pStyle w:val="ListBullet"/>
      </w:pPr>
      <w:r w:rsidRPr="00A90967">
        <w:t>coding classifications sta</w:t>
      </w:r>
      <w:r w:rsidRPr="00A90967">
        <w:t>ndards and conventions for:</w:t>
      </w:r>
    </w:p>
    <w:p w:rsidR="00000000" w:rsidRPr="00A90967" w:rsidP="00A90967">
      <w:pPr>
        <w:pStyle w:val="ListBullet2"/>
      </w:pPr>
      <w:r w:rsidRPr="00A90967">
        <w:t>infectious and parasitic diseases</w:t>
      </w:r>
    </w:p>
    <w:p w:rsidR="00000000" w:rsidRPr="00A90967" w:rsidP="00A90967">
      <w:pPr>
        <w:pStyle w:val="ListBullet2"/>
      </w:pPr>
      <w:r w:rsidRPr="00A90967">
        <w:t>neoplasms</w:t>
      </w:r>
    </w:p>
    <w:p w:rsidR="00000000" w:rsidRPr="00A90967" w:rsidP="00A90967">
      <w:pPr>
        <w:pStyle w:val="ListBullet2"/>
      </w:pPr>
      <w:r w:rsidRPr="00A90967">
        <w:t>diseases of the blood and blood-forming organs and certain disorders involving the immune mechanism</w:t>
      </w:r>
    </w:p>
    <w:p w:rsidR="00000000" w:rsidRPr="00A90967" w:rsidP="00A90967">
      <w:pPr>
        <w:pStyle w:val="ListBullet2"/>
      </w:pPr>
      <w:r w:rsidRPr="00A90967">
        <w:t>endocrine, nutritional and metabolic diseases</w:t>
      </w:r>
    </w:p>
    <w:p w:rsidR="00000000" w:rsidRPr="00A90967" w:rsidP="00A90967">
      <w:pPr>
        <w:pStyle w:val="ListBullet2"/>
      </w:pPr>
      <w:r w:rsidRPr="00A90967">
        <w:t>mental and behavioural disorders</w:t>
      </w:r>
    </w:p>
    <w:p w:rsidR="00000000" w:rsidRPr="00A90967" w:rsidP="00A90967">
      <w:pPr>
        <w:pStyle w:val="ListBullet2"/>
      </w:pPr>
      <w:r w:rsidRPr="00A90967">
        <w:t>diseases of the nervous system</w:t>
      </w:r>
    </w:p>
    <w:p w:rsidR="00000000" w:rsidRPr="00A90967" w:rsidP="00A90967">
      <w:pPr>
        <w:pStyle w:val="ListBullet2"/>
      </w:pPr>
      <w:r w:rsidRPr="00A90967">
        <w:t>diseases of the eye and adnexa</w:t>
      </w:r>
    </w:p>
    <w:p w:rsidR="00000000" w:rsidRPr="00A90967" w:rsidP="00A90967">
      <w:pPr>
        <w:pStyle w:val="ListBullet2"/>
      </w:pPr>
      <w:r w:rsidRPr="00A90967">
        <w:t>diseases of the ear and mastoid process</w:t>
      </w:r>
    </w:p>
    <w:p w:rsidR="00000000" w:rsidRPr="00A90967" w:rsidP="00A90967">
      <w:pPr>
        <w:pStyle w:val="ListBullet2"/>
      </w:pPr>
      <w:r w:rsidRPr="00A90967">
        <w:t>diseases of the circulatory system.</w:t>
      </w:r>
    </w:p>
    <w:p w:rsidR="00000000" w:rsidRPr="00A90967" w:rsidP="00A90967">
      <w:pPr>
        <w:pStyle w:val="ListBullet2"/>
      </w:pPr>
      <w:r w:rsidRPr="00A90967">
        <w:t>diseases of the respiratory system</w:t>
      </w:r>
    </w:p>
    <w:p w:rsidR="00000000" w:rsidRPr="00A90967" w:rsidP="00A90967">
      <w:pPr>
        <w:pStyle w:val="ListBullet2"/>
      </w:pPr>
      <w:r w:rsidRPr="00A90967">
        <w:t>diseases of the digestive system</w:t>
      </w:r>
    </w:p>
    <w:p w:rsidR="00000000" w:rsidRPr="00A90967" w:rsidP="00A90967">
      <w:pPr>
        <w:pStyle w:val="ListBullet2"/>
      </w:pPr>
      <w:r w:rsidRPr="00A90967">
        <w:t>diseases of the skin and subcutaneous tissue</w:t>
      </w:r>
    </w:p>
    <w:p w:rsidR="00000000" w:rsidRPr="00A90967" w:rsidP="00A90967">
      <w:pPr>
        <w:pStyle w:val="ListBullet2"/>
      </w:pPr>
      <w:r w:rsidRPr="00A90967">
        <w:t>disea</w:t>
      </w:r>
      <w:r w:rsidRPr="00A90967">
        <w:t>ses of the musculoskeletal system and connective tissue</w:t>
      </w:r>
    </w:p>
    <w:p w:rsidR="00000000" w:rsidRPr="00A90967" w:rsidP="00A90967">
      <w:pPr>
        <w:pStyle w:val="ListBullet2"/>
      </w:pPr>
      <w:r w:rsidRPr="00A90967">
        <w:t>diseases of the genitourinary system</w:t>
      </w:r>
    </w:p>
    <w:p w:rsidR="00000000" w:rsidRPr="00A90967" w:rsidP="00A90967">
      <w:pPr>
        <w:pStyle w:val="ListBullet2"/>
      </w:pPr>
      <w:r w:rsidRPr="00A90967">
        <w:t>pregnancy, childbirth and the puerperium conditions originating in the perinatal period including congenital malformations, deformations and chromosomal abnormalit</w:t>
      </w:r>
      <w:r w:rsidRPr="00A90967">
        <w:t>ies</w:t>
      </w:r>
    </w:p>
    <w:p w:rsidR="00000000" w:rsidRPr="00A90967" w:rsidP="00A90967">
      <w:pPr>
        <w:pStyle w:val="ListBullet2"/>
      </w:pPr>
      <w:r w:rsidRPr="00A90967">
        <w:t>symptoms, signs and abnormal clinical and laboratory findings, not elsewhere classified.</w:t>
      </w:r>
    </w:p>
    <w:p w:rsidR="00000000" w:rsidRPr="00A90967" w:rsidP="00A90967">
      <w:pPr>
        <w:pStyle w:val="ListBullet2"/>
      </w:pPr>
      <w:r w:rsidRPr="00A90967">
        <w:t>injury, poisoning and causes of morbidity and mortality</w:t>
      </w:r>
    </w:p>
    <w:p w:rsidR="00000000" w:rsidRPr="00A90967" w:rsidP="00A90967">
      <w:pPr>
        <w:pStyle w:val="ListBullet"/>
      </w:pPr>
      <w:r w:rsidRPr="00A90967">
        <w:t>purpose and types of coding audits</w:t>
      </w:r>
    </w:p>
    <w:p w:rsidR="00000000" w:rsidRPr="00A90967" w:rsidP="00A90967">
      <w:pPr>
        <w:pStyle w:val="ListBullet"/>
      </w:pPr>
      <w:r w:rsidRPr="00A90967">
        <w:t>standard procedures and protocols for coding audits</w:t>
      </w:r>
    </w:p>
    <w:p w:rsidR="00000000" w:rsidRPr="00A90967" w:rsidP="00A90967">
      <w:pPr>
        <w:pStyle w:val="ListBullet"/>
      </w:pPr>
      <w:r w:rsidRPr="00A90967">
        <w:t>common coding erro</w:t>
      </w:r>
      <w:r w:rsidRPr="00A90967">
        <w:t>rs and how to calculate error rates</w:t>
      </w:r>
    </w:p>
    <w:p w:rsidR="00000000" w:rsidRPr="00A90967" w:rsidP="00A90967">
      <w:pPr>
        <w:pStyle w:val="ListBullet"/>
      </w:pPr>
      <w:r w:rsidRPr="00A90967">
        <w:t>individual coder’s role in participating in coding audits and responding to audit findings.</w:t>
      </w:r>
    </w:p>
    <w:p w:rsidR="00000000" w:rsidRPr="00A90967" w:rsidP="00A90967">
      <w:pPr>
        <w:pStyle w:val="AllowPageBreak"/>
      </w:pPr>
    </w:p>
    <w:p w:rsidR="00000000" w:rsidRPr="00A90967" w:rsidP="00A90967">
      <w:pPr>
        <w:pStyle w:val="Heading1"/>
      </w:pPr>
      <w:bookmarkStart w:id="4" w:name="O_1200032"/>
      <w:bookmarkEnd w:id="4"/>
      <w:r w:rsidRPr="00A90967">
        <w:t>Assessment Conditions</w:t>
      </w:r>
    </w:p>
    <w:p w:rsidR="00000000" w:rsidRPr="00A90967" w:rsidP="00A80138">
      <w:pPr>
        <w:pStyle w:val="BodyText"/>
      </w:pPr>
      <w:r w:rsidRPr="00A90967">
        <w:t>Skills must be demonstrated in the workplace or in a simulated environment that reflect</w:t>
      </w:r>
      <w:r w:rsidRPr="00A90967">
        <w:t>s workplace conditions.</w:t>
      </w:r>
    </w:p>
    <w:p w:rsidR="00000000" w:rsidRPr="00A90967" w:rsidP="00A80138">
      <w:pPr>
        <w:pStyle w:val="BodyText"/>
      </w:pPr>
      <w:r w:rsidRPr="00A90967">
        <w:t>Assessment must ensure access to:</w:t>
      </w:r>
    </w:p>
    <w:p w:rsidR="00000000" w:rsidRPr="00A90967" w:rsidP="00A90967">
      <w:pPr>
        <w:pStyle w:val="ListBullet"/>
      </w:pPr>
      <w:r w:rsidRPr="00A90967">
        <w:t>real-life patient health care records or de-identified real patient health care records either electronic or hard copy, that reflect current clinical practice</w:t>
      </w:r>
    </w:p>
    <w:p w:rsidR="00000000" w:rsidRPr="00A90967" w:rsidP="00A90967">
      <w:pPr>
        <w:pStyle w:val="ListBullet"/>
      </w:pPr>
      <w:r w:rsidRPr="00A90967">
        <w:t>moderately complex patient health care</w:t>
      </w:r>
      <w:r w:rsidRPr="00A90967">
        <w:t xml:space="preserve"> records from all clinical specialities to include single condition reason for admission with the existence of at least five multiple co-morbidities or the need for multiple interventions including:</w:t>
      </w:r>
    </w:p>
    <w:p w:rsidR="00000000" w:rsidRPr="00A90967" w:rsidP="00A90967">
      <w:pPr>
        <w:pStyle w:val="ListBullet2"/>
      </w:pPr>
      <w:r w:rsidRPr="00A90967">
        <w:t>multiple condition reason for admission without co-morbi</w:t>
      </w:r>
      <w:r w:rsidRPr="00A90967">
        <w:t>dities or the need for interventions:</w:t>
      </w:r>
    </w:p>
    <w:p w:rsidR="00000000" w:rsidRPr="00A90967" w:rsidP="00A90967">
      <w:pPr>
        <w:pStyle w:val="ListBullet3"/>
      </w:pPr>
      <w:r w:rsidRPr="00A90967">
        <w:t>minor multiple trauma</w:t>
      </w:r>
    </w:p>
    <w:p w:rsidR="00000000" w:rsidRPr="00A90967" w:rsidP="00A90967">
      <w:pPr>
        <w:pStyle w:val="ListBullet3"/>
      </w:pPr>
      <w:r w:rsidRPr="00A90967">
        <w:t>deliveries with complication</w:t>
      </w:r>
    </w:p>
    <w:p w:rsidR="00000000" w:rsidRPr="00A90967" w:rsidP="00A90967">
      <w:pPr>
        <w:pStyle w:val="ListBullet3"/>
      </w:pPr>
      <w:r w:rsidRPr="00A90967">
        <w:t>unplanned surgery</w:t>
      </w:r>
    </w:p>
    <w:p w:rsidR="00000000" w:rsidRPr="00A90967" w:rsidP="00A90967">
      <w:pPr>
        <w:pStyle w:val="ListBullet3"/>
      </w:pPr>
      <w:r w:rsidRPr="00A90967">
        <w:t>care type changes</w:t>
      </w:r>
    </w:p>
    <w:p w:rsidR="00000000" w:rsidRPr="00A90967" w:rsidP="00A90967">
      <w:pPr>
        <w:pStyle w:val="ListBullet3"/>
      </w:pPr>
      <w:r w:rsidRPr="00A90967">
        <w:t>preterm babies &gt; 32 weeks</w:t>
      </w:r>
    </w:p>
    <w:p w:rsidR="00000000" w:rsidRPr="00A90967" w:rsidP="00A90967">
      <w:pPr>
        <w:pStyle w:val="ListBullet3"/>
      </w:pPr>
      <w:r w:rsidRPr="00A90967">
        <w:t>diabetes with multiple complications</w:t>
      </w:r>
    </w:p>
    <w:p w:rsidR="00000000" w:rsidRPr="00A90967" w:rsidP="00A90967">
      <w:pPr>
        <w:pStyle w:val="ListBullet3"/>
      </w:pPr>
      <w:r w:rsidRPr="00A90967">
        <w:t>neoplasms with metastases including single or multiple</w:t>
      </w:r>
    </w:p>
    <w:p w:rsidR="00000000" w:rsidRPr="00A90967" w:rsidP="00A90967">
      <w:pPr>
        <w:pStyle w:val="ListBullet3"/>
      </w:pPr>
      <w:r w:rsidRPr="00A90967">
        <w:t>single procedural complication or adverse effect of treatment</w:t>
      </w:r>
    </w:p>
    <w:p w:rsidR="00000000" w:rsidRPr="00A90967" w:rsidP="00A90967">
      <w:pPr>
        <w:pStyle w:val="ListBullet3"/>
      </w:pPr>
      <w:r w:rsidRPr="00A90967">
        <w:t>episodes where a clinical query might be required</w:t>
      </w:r>
    </w:p>
    <w:p w:rsidR="00000000" w:rsidRPr="00A90967" w:rsidP="00A90967">
      <w:pPr>
        <w:pStyle w:val="ListBullet"/>
      </w:pPr>
      <w:r w:rsidRPr="00A90967">
        <w:t>current Australian coding classification</w:t>
      </w:r>
    </w:p>
    <w:p w:rsidR="00000000" w:rsidRPr="00A90967" w:rsidP="00A90967">
      <w:pPr>
        <w:pStyle w:val="ListBullet"/>
      </w:pPr>
      <w:r w:rsidRPr="00A90967">
        <w:t>medical dictionary or other equivalent medical resource</w:t>
      </w:r>
    </w:p>
    <w:p w:rsidR="00000000" w:rsidRPr="00A90967" w:rsidP="00A90967">
      <w:pPr>
        <w:pStyle w:val="ListBullet"/>
      </w:pPr>
      <w:r w:rsidRPr="00A90967">
        <w:t>organisational policies and procedures</w:t>
      </w:r>
    </w:p>
    <w:p w:rsidR="00000000" w:rsidRPr="00A90967" w:rsidP="00A90967">
      <w:pPr>
        <w:pStyle w:val="ListBullet"/>
      </w:pPr>
      <w:r w:rsidRPr="00A90967">
        <w:t>Nationa</w:t>
      </w:r>
      <w:r w:rsidRPr="00A90967">
        <w:t>l and State or Territory legislation relevant to clinical coding</w:t>
      </w:r>
    </w:p>
    <w:p w:rsidR="00A80138" w:rsidP="00A80138">
      <w:pPr>
        <w:pStyle w:val="BodyText"/>
      </w:pPr>
      <w:r w:rsidRPr="00A90967">
        <w:t>Assessors must satisfy the Standards for Registered Training Organisations’ requirements for assessors.</w:t>
      </w:r>
    </w:p>
    <w:p w:rsidR="00000000" w:rsidRPr="00A90967" w:rsidP="00A90967">
      <w:pPr>
        <w:pStyle w:val="Heading1"/>
      </w:pPr>
      <w:bookmarkStart w:id="5" w:name="O_1200046"/>
      <w:bookmarkEnd w:id="5"/>
      <w:r w:rsidRPr="00A90967">
        <w:t>Links</w:t>
      </w:r>
    </w:p>
    <w:p w:rsidR="00000000" w:rsidRPr="00A90967" w:rsidP="00A80138">
      <w:pPr>
        <w:pStyle w:val="BodyText"/>
      </w:pPr>
      <w:r w:rsidRPr="00A90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53C6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90967" w:rsidP="00A90967"/>
    <w:sectPr w:rsidSect="00A90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67" w:rsidRPr="00A80138" w:rsidP="00A8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38" w:rsidP="00A90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138" w:rsidP="00A90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0138" w:rsidP="00A90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967" w:rsidRPr="00A80138" w:rsidP="00A8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38" w:rsidRPr="002D2AF8" w:rsidP="00A90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HLTCCD007 Undertake moderately complex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80138" w:rsidP="00A90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83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CA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4A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967"/>
  </w:style>
  <w:style w:type="character" w:customStyle="1" w:styleId="Heading1Char">
    <w:name w:val="Heading 1 Char"/>
    <w:basedOn w:val="DefaultParagraphFont"/>
    <w:link w:val="Heading1"/>
    <w:rsid w:val="00A90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9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967"/>
    <w:rPr>
      <w:b/>
      <w:spacing w:val="0"/>
    </w:rPr>
  </w:style>
  <w:style w:type="paragraph" w:styleId="ListBullet2">
    <w:name w:val="List Bullet 2"/>
    <w:basedOn w:val="List2"/>
    <w:rsid w:val="00A909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0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09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0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967"/>
    <w:rPr>
      <w:i/>
    </w:rPr>
  </w:style>
  <w:style w:type="paragraph" w:styleId="Caption">
    <w:name w:val="caption"/>
    <w:basedOn w:val="BodyText"/>
    <w:next w:val="Normal"/>
    <w:qFormat/>
    <w:rsid w:val="00A90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967"/>
  </w:style>
  <w:style w:type="paragraph" w:styleId="TableofFigures">
    <w:name w:val="table of figures"/>
    <w:basedOn w:val="Normal"/>
    <w:next w:val="Normal"/>
    <w:semiHidden/>
    <w:rsid w:val="00A90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9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0967"/>
    <w:rPr>
      <w:rFonts w:ascii="Wingdings" w:hAnsi="Wingdings"/>
    </w:rPr>
  </w:style>
  <w:style w:type="paragraph" w:customStyle="1" w:styleId="TableHeading">
    <w:name w:val="Table Heading"/>
    <w:basedOn w:val="HeadingBase"/>
    <w:rsid w:val="00A90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967"/>
    <w:rPr>
      <w:color w:val="0033CC"/>
      <w:u w:val="none"/>
    </w:rPr>
  </w:style>
  <w:style w:type="paragraph" w:customStyle="1" w:styleId="BodyTextRight">
    <w:name w:val="Body Text Right"/>
    <w:basedOn w:val="BodyText"/>
    <w:rsid w:val="00A90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9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967"/>
    <w:rPr>
      <w:sz w:val="32"/>
    </w:rPr>
  </w:style>
  <w:style w:type="paragraph" w:customStyle="1" w:styleId="HeadingProcedure">
    <w:name w:val="Heading Procedure"/>
    <w:basedOn w:val="HeadingBase"/>
    <w:next w:val="Normal"/>
    <w:rsid w:val="00A90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967"/>
    <w:pPr>
      <w:spacing w:before="60" w:after="60"/>
    </w:pPr>
  </w:style>
  <w:style w:type="paragraph" w:styleId="ListContinue">
    <w:name w:val="List Continue"/>
    <w:basedOn w:val="List"/>
    <w:rsid w:val="00A90967"/>
    <w:pPr>
      <w:ind w:firstLine="0"/>
    </w:pPr>
  </w:style>
  <w:style w:type="paragraph" w:customStyle="1" w:styleId="ListNote">
    <w:name w:val="List Note"/>
    <w:basedOn w:val="List"/>
    <w:rsid w:val="00A90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967"/>
    <w:rPr>
      <w:rFonts w:ascii="Courier New" w:hAnsi="Courier New"/>
    </w:rPr>
  </w:style>
  <w:style w:type="paragraph" w:customStyle="1" w:styleId="NoteBullet">
    <w:name w:val="Note Bullet"/>
    <w:basedOn w:val="Note"/>
    <w:rsid w:val="00A90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9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0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967"/>
    <w:rPr>
      <w:b/>
      <w:smallCaps/>
    </w:rPr>
  </w:style>
  <w:style w:type="paragraph" w:customStyle="1" w:styleId="TableListNumber">
    <w:name w:val="Table List Number"/>
    <w:basedOn w:val="ListNumber"/>
    <w:rsid w:val="00A90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967"/>
    <w:pPr>
      <w:numPr>
        <w:numId w:val="10"/>
      </w:numPr>
    </w:pPr>
  </w:style>
  <w:style w:type="paragraph" w:customStyle="1" w:styleId="ListAlpha2">
    <w:name w:val="List Alpha 2"/>
    <w:basedOn w:val="List2"/>
    <w:rsid w:val="00A90967"/>
    <w:pPr>
      <w:numPr>
        <w:numId w:val="9"/>
      </w:numPr>
    </w:pPr>
  </w:style>
  <w:style w:type="paragraph" w:styleId="List2">
    <w:name w:val="List 2"/>
    <w:basedOn w:val="BodyText"/>
    <w:rsid w:val="00A90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9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09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0967"/>
    <w:pPr>
      <w:numPr>
        <w:numId w:val="5"/>
      </w:numPr>
    </w:pPr>
  </w:style>
  <w:style w:type="paragraph" w:styleId="ListContinue2">
    <w:name w:val="List Continue 2"/>
    <w:basedOn w:val="List2"/>
    <w:rsid w:val="00A90967"/>
    <w:pPr>
      <w:ind w:firstLine="0"/>
    </w:pPr>
  </w:style>
  <w:style w:type="paragraph" w:styleId="ListContinue3">
    <w:name w:val="List Continue 3"/>
    <w:basedOn w:val="List3"/>
    <w:rsid w:val="00A90967"/>
    <w:pPr>
      <w:ind w:left="1021" w:firstLine="0"/>
    </w:pPr>
  </w:style>
  <w:style w:type="paragraph" w:styleId="ListContinue4">
    <w:name w:val="List Continue 4"/>
    <w:basedOn w:val="List4"/>
    <w:rsid w:val="00A90967"/>
    <w:pPr>
      <w:ind w:firstLine="0"/>
    </w:pPr>
  </w:style>
  <w:style w:type="paragraph" w:styleId="ListContinue5">
    <w:name w:val="List Continue 5"/>
    <w:basedOn w:val="List5"/>
    <w:rsid w:val="00A90967"/>
    <w:pPr>
      <w:ind w:firstLine="0"/>
    </w:pPr>
  </w:style>
  <w:style w:type="paragraph" w:styleId="ListNumber3">
    <w:name w:val="List Number 3"/>
    <w:basedOn w:val="List3"/>
    <w:rsid w:val="00A90967"/>
    <w:pPr>
      <w:numPr>
        <w:numId w:val="6"/>
      </w:numPr>
    </w:pPr>
  </w:style>
  <w:style w:type="paragraph" w:styleId="ListNumber4">
    <w:name w:val="List Number 4"/>
    <w:basedOn w:val="List4"/>
    <w:rsid w:val="00A90967"/>
    <w:pPr>
      <w:numPr>
        <w:numId w:val="7"/>
      </w:numPr>
    </w:pPr>
  </w:style>
  <w:style w:type="paragraph" w:styleId="ListNumber5">
    <w:name w:val="List Number 5"/>
    <w:basedOn w:val="List5"/>
    <w:rsid w:val="00A90967"/>
    <w:pPr>
      <w:numPr>
        <w:numId w:val="8"/>
      </w:numPr>
    </w:pPr>
  </w:style>
  <w:style w:type="paragraph" w:styleId="BlockText">
    <w:name w:val="Block Text"/>
    <w:basedOn w:val="Normal"/>
    <w:rsid w:val="00A90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967"/>
    <w:rPr>
      <w:sz w:val="16"/>
      <w:vertAlign w:val="superscript"/>
    </w:rPr>
  </w:style>
  <w:style w:type="character" w:customStyle="1" w:styleId="Symbols">
    <w:name w:val="Symbols"/>
    <w:basedOn w:val="DefaultParagraphFont"/>
    <w:rsid w:val="00A90967"/>
    <w:rPr>
      <w:rFonts w:ascii="Symbol" w:hAnsi="Symbol"/>
    </w:rPr>
  </w:style>
  <w:style w:type="character" w:customStyle="1" w:styleId="MenuOptions">
    <w:name w:val="Menu Options"/>
    <w:basedOn w:val="DefaultParagraphFont"/>
    <w:rsid w:val="00A90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967"/>
    <w:rPr>
      <w:b/>
    </w:rPr>
  </w:style>
  <w:style w:type="character" w:customStyle="1" w:styleId="Underlined">
    <w:name w:val="Underlined"/>
    <w:basedOn w:val="DefaultParagraphFont"/>
    <w:rsid w:val="00A90967"/>
    <w:rPr>
      <w:u w:val="single"/>
    </w:rPr>
  </w:style>
  <w:style w:type="paragraph" w:customStyle="1" w:styleId="TableBodyTextRight">
    <w:name w:val="Table Body Text Right"/>
    <w:basedOn w:val="TableBodyText"/>
    <w:rsid w:val="00A90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967"/>
    <w:rPr>
      <w:sz w:val="18"/>
    </w:rPr>
  </w:style>
  <w:style w:type="paragraph" w:customStyle="1" w:styleId="BodySmallRight">
    <w:name w:val="Body Small Right"/>
    <w:basedOn w:val="BodyTextRight"/>
    <w:rsid w:val="00A90967"/>
    <w:rPr>
      <w:sz w:val="18"/>
      <w:szCs w:val="18"/>
    </w:rPr>
  </w:style>
  <w:style w:type="paragraph" w:customStyle="1" w:styleId="MarginEdition">
    <w:name w:val="Margin Edition"/>
    <w:basedOn w:val="MarginNote"/>
    <w:rsid w:val="00A90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967"/>
    <w:rPr>
      <w:sz w:val="2"/>
      <w:szCs w:val="2"/>
    </w:rPr>
  </w:style>
  <w:style w:type="character" w:customStyle="1" w:styleId="Small">
    <w:name w:val="Small"/>
    <w:basedOn w:val="DefaultParagraphFont"/>
    <w:rsid w:val="00A90967"/>
    <w:rPr>
      <w:sz w:val="16"/>
    </w:rPr>
  </w:style>
  <w:style w:type="paragraph" w:customStyle="1" w:styleId="WideTable">
    <w:name w:val="Wide Table"/>
    <w:basedOn w:val="Normal"/>
    <w:rsid w:val="00A90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967"/>
  </w:style>
  <w:style w:type="paragraph" w:styleId="Quote">
    <w:name w:val="Quote"/>
    <w:basedOn w:val="Heading1"/>
    <w:link w:val="QuoteChar"/>
    <w:qFormat/>
    <w:rsid w:val="00A90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967"/>
    <w:pPr>
      <w:pageBreakBefore/>
    </w:pPr>
  </w:style>
  <w:style w:type="paragraph" w:customStyle="1" w:styleId="Border">
    <w:name w:val="Border"/>
    <w:basedOn w:val="Normal"/>
    <w:qFormat/>
    <w:rsid w:val="00A90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967"/>
    <w:rPr>
      <w:u w:val="single"/>
    </w:rPr>
  </w:style>
  <w:style w:type="character" w:customStyle="1" w:styleId="BoldandItalics">
    <w:name w:val="Bold and Italics"/>
    <w:qFormat/>
    <w:rsid w:val="00A90967"/>
    <w:rPr>
      <w:b/>
      <w:i/>
      <w:u w:val="none"/>
    </w:rPr>
  </w:style>
  <w:style w:type="paragraph" w:styleId="BalloonText">
    <w:name w:val="Balloon Text"/>
    <w:basedOn w:val="Normal"/>
    <w:link w:val="BalloonTextChar"/>
    <w:rsid w:val="00A90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967"/>
    <w:pPr>
      <w:spacing w:before="0" w:after="0"/>
    </w:pPr>
  </w:style>
  <w:style w:type="paragraph" w:customStyle="1" w:styleId="BodyTextBold">
    <w:name w:val="Body Text Bold"/>
    <w:basedOn w:val="BodyText"/>
    <w:qFormat/>
    <w:rsid w:val="00A90967"/>
    <w:rPr>
      <w:b/>
    </w:rPr>
  </w:style>
  <w:style w:type="character" w:styleId="Hyperlink">
    <w:name w:val="Hyperlink"/>
    <w:basedOn w:val="DefaultParagraphFont"/>
    <w:uiPriority w:val="99"/>
    <w:unhideWhenUsed/>
    <w:rsid w:val="00A8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5130</Characters>
  <Application>Microsoft Office Word</Application>
  <DocSecurity>0</DocSecurity>
  <Lines>131</Lines>
  <Paragraphs>109</Paragraphs>
  <ScaleCrop>false</ScaleCrop>
  <Company>Author-it Software Corporation Ltd.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HLTCCD007 Undertake moderately complex clinical coding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