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F77" w:rsidP="000C2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HLTCCD006 Undertake basic clinical coding</w:t>
      </w:r>
      <w:r>
        <w:fldChar w:fldCharType="end"/>
      </w:r>
    </w:p>
    <w:p w:rsidR="000C2F77" w:rsidP="000C2F77">
      <w:pPr>
        <w:pStyle w:val="Version"/>
        <w:sectPr w:rsidSect="00634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46E3" w:rsidP="006346E3">
      <w:pPr>
        <w:pStyle w:val="SuperHeading"/>
      </w:pPr>
      <w:r w:rsidRPr="006346E3">
        <w:t>Assessment Requirements for HLTCCD006 Undertake basic clinical coding</w:t>
      </w:r>
    </w:p>
    <w:p w:rsidR="00000000" w:rsidRPr="006346E3" w:rsidP="006346E3">
      <w:pPr>
        <w:pStyle w:val="Heading1"/>
      </w:pPr>
      <w:bookmarkStart w:id="1" w:name="O_1200052"/>
      <w:bookmarkEnd w:id="1"/>
      <w:r w:rsidRPr="006346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634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46E3" w:rsidP="006346E3">
            <w:pPr>
              <w:pStyle w:val="BodyText"/>
            </w:pPr>
            <w:r w:rsidRPr="006346E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46E3">
            <w:pPr>
              <w:pStyle w:val="BodyText"/>
              <w:rPr>
                <w:lang w:val="en-NZ"/>
              </w:rPr>
            </w:pPr>
            <w:r w:rsidRPr="006346E3">
              <w:rPr>
                <w:rStyle w:val="SpecialBold"/>
              </w:rPr>
              <w:t>Comments</w:t>
            </w:r>
          </w:p>
        </w:tc>
      </w:tr>
      <w:tr w:rsidTr="00634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6E3">
            <w:pPr>
              <w:pStyle w:val="BodyText"/>
              <w:rPr>
                <w:lang w:val="en-NZ"/>
              </w:rPr>
            </w:pPr>
            <w:r w:rsidRPr="006346E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6E3" w:rsidP="006346E3">
            <w:pPr>
              <w:pStyle w:val="BodyText"/>
            </w:pPr>
            <w:r w:rsidRPr="006346E3">
              <w:t>Release 2 HLTCCD006 Undertake basic clinical coding supersedes and is equivalent to Release 1 HLTCCD006 Undertake basic clinical coding.</w:t>
            </w:r>
          </w:p>
          <w:p w:rsidR="00000000" w:rsidRPr="006346E3" w:rsidP="006346E3">
            <w:pPr>
              <w:pStyle w:val="BodyText"/>
            </w:pPr>
            <w:r w:rsidRPr="006346E3">
              <w:t>Updated:</w:t>
            </w:r>
          </w:p>
          <w:p w:rsidR="00000000" w:rsidP="006346E3">
            <w:pPr>
              <w:pStyle w:val="BodyText"/>
              <w:rPr>
                <w:lang w:val="en-NZ"/>
              </w:rPr>
            </w:pPr>
            <w:r w:rsidRPr="006346E3">
              <w:t>Mapping details and minor corrections.</w:t>
            </w:r>
          </w:p>
        </w:tc>
      </w:tr>
      <w:tr w:rsidTr="00634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6E3">
            <w:pPr>
              <w:pStyle w:val="BodyText"/>
              <w:rPr>
                <w:lang w:val="en-NZ"/>
              </w:rPr>
            </w:pPr>
            <w:r w:rsidRPr="006346E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6E3" w:rsidP="006346E3">
            <w:pPr>
              <w:pStyle w:val="BodyText"/>
            </w:pPr>
            <w:r w:rsidRPr="006346E3">
              <w:t xml:space="preserve">HLTCCD006 Undertake basic clinical coding supersedes and is </w:t>
            </w:r>
            <w:r w:rsidRPr="006346E3">
              <w:t>not equivalent to HLTADM005 Produce coded clinical data.</w:t>
            </w:r>
          </w:p>
        </w:tc>
      </w:tr>
    </w:tbl>
    <w:p w:rsidR="00000000" w:rsidRPr="006346E3" w:rsidP="006346E3">
      <w:pPr>
        <w:pStyle w:val="BodyText"/>
      </w:pPr>
    </w:p>
    <w:p w:rsidR="00000000" w:rsidRPr="006346E3" w:rsidP="006346E3">
      <w:pPr>
        <w:pStyle w:val="AllowPageBreak"/>
      </w:pPr>
    </w:p>
    <w:p w:rsidR="00000000" w:rsidRPr="006346E3" w:rsidP="006346E3">
      <w:pPr>
        <w:pStyle w:val="Heading1"/>
      </w:pPr>
      <w:bookmarkStart w:id="2" w:name="O_1200051"/>
      <w:bookmarkEnd w:id="2"/>
      <w:r w:rsidRPr="006346E3">
        <w:t>Performance Evidence</w:t>
      </w:r>
    </w:p>
    <w:p w:rsidR="00000000" w:rsidRPr="006346E3" w:rsidP="000C2F77">
      <w:pPr>
        <w:pStyle w:val="BodyText"/>
      </w:pPr>
      <w:r w:rsidRPr="006346E3">
        <w:t>Evidence of the ability to complete tasks outlined in elements and performance criteria of this unit in the context of the job role, and:</w:t>
      </w:r>
    </w:p>
    <w:p w:rsidR="00000000" w:rsidRPr="006346E3" w:rsidP="006346E3">
      <w:pPr>
        <w:pStyle w:val="ListBullet"/>
      </w:pPr>
      <w:r w:rsidRPr="006346E3">
        <w:t>use current coding manuals and standards to produce coded clinical data from basic patient health care records for at least ten episodes of care for each of the following:</w:t>
      </w:r>
    </w:p>
    <w:p w:rsidR="00000000" w:rsidRPr="006346E3" w:rsidP="006346E3">
      <w:pPr>
        <w:pStyle w:val="ListBullet2"/>
      </w:pPr>
      <w:r w:rsidRPr="006346E3">
        <w:t>infectious and parasitic diseases</w:t>
      </w:r>
    </w:p>
    <w:p w:rsidR="00000000" w:rsidRPr="006346E3" w:rsidP="006346E3">
      <w:pPr>
        <w:pStyle w:val="ListBullet2"/>
      </w:pPr>
      <w:r w:rsidRPr="006346E3">
        <w:t>neoplasms</w:t>
      </w:r>
    </w:p>
    <w:p w:rsidR="00000000" w:rsidRPr="006346E3" w:rsidP="006346E3">
      <w:pPr>
        <w:pStyle w:val="ListBullet2"/>
      </w:pPr>
      <w:r w:rsidRPr="006346E3">
        <w:t>diseases of the blood and blood-forming</w:t>
      </w:r>
      <w:r w:rsidRPr="006346E3">
        <w:t xml:space="preserve"> organs and certain disorders involving the immune mechanism</w:t>
      </w:r>
    </w:p>
    <w:p w:rsidR="00000000" w:rsidRPr="006346E3" w:rsidP="006346E3">
      <w:pPr>
        <w:pStyle w:val="ListBullet2"/>
      </w:pPr>
      <w:r w:rsidRPr="006346E3">
        <w:t>endocrine, nutritional and metabolic diseases</w:t>
      </w:r>
    </w:p>
    <w:p w:rsidR="00000000" w:rsidRPr="006346E3" w:rsidP="006346E3">
      <w:pPr>
        <w:pStyle w:val="ListBullet2"/>
      </w:pPr>
      <w:r w:rsidRPr="006346E3">
        <w:t>mental and behavioural disorders</w:t>
      </w:r>
    </w:p>
    <w:p w:rsidR="00000000" w:rsidRPr="006346E3" w:rsidP="006346E3">
      <w:pPr>
        <w:pStyle w:val="ListBullet2"/>
      </w:pPr>
      <w:r w:rsidRPr="006346E3">
        <w:t>diseases of the nervous system</w:t>
      </w:r>
    </w:p>
    <w:p w:rsidR="00000000" w:rsidRPr="006346E3" w:rsidP="006346E3">
      <w:pPr>
        <w:pStyle w:val="ListBullet2"/>
      </w:pPr>
      <w:r w:rsidRPr="006346E3">
        <w:t>diseases of the eye and adnexa</w:t>
      </w:r>
    </w:p>
    <w:p w:rsidR="00000000" w:rsidRPr="006346E3" w:rsidP="006346E3">
      <w:pPr>
        <w:pStyle w:val="ListBullet2"/>
      </w:pPr>
      <w:r w:rsidRPr="006346E3">
        <w:t>diseases of the ear and mastoid process</w:t>
      </w:r>
    </w:p>
    <w:p w:rsidR="00000000" w:rsidRPr="006346E3" w:rsidP="006346E3">
      <w:pPr>
        <w:pStyle w:val="ListBullet2"/>
      </w:pPr>
      <w:r w:rsidRPr="006346E3">
        <w:t>diseases of th</w:t>
      </w:r>
      <w:r w:rsidRPr="006346E3">
        <w:t>e circulatory system</w:t>
      </w:r>
    </w:p>
    <w:p w:rsidR="00000000" w:rsidRPr="006346E3" w:rsidP="006346E3">
      <w:pPr>
        <w:pStyle w:val="ListBullet2"/>
      </w:pPr>
      <w:r w:rsidRPr="006346E3">
        <w:t>diseases of the respiratory system</w:t>
      </w:r>
    </w:p>
    <w:p w:rsidR="00000000" w:rsidRPr="006346E3" w:rsidP="006346E3">
      <w:pPr>
        <w:pStyle w:val="ListBullet2"/>
      </w:pPr>
      <w:r w:rsidRPr="006346E3">
        <w:t>diseases of the digestive system</w:t>
      </w:r>
    </w:p>
    <w:p w:rsidR="00000000" w:rsidRPr="006346E3" w:rsidP="006346E3">
      <w:pPr>
        <w:pStyle w:val="ListBullet2"/>
      </w:pPr>
      <w:r w:rsidRPr="006346E3">
        <w:t>diseases of the skin and subcutaneous tissue</w:t>
      </w:r>
    </w:p>
    <w:p w:rsidR="00000000" w:rsidRPr="006346E3" w:rsidP="006346E3">
      <w:pPr>
        <w:pStyle w:val="ListBullet2"/>
      </w:pPr>
      <w:r w:rsidRPr="006346E3">
        <w:t>diseases of the musculoskeletal system and connective tissue</w:t>
      </w:r>
    </w:p>
    <w:p w:rsidR="00000000" w:rsidRPr="006346E3" w:rsidP="006346E3">
      <w:pPr>
        <w:pStyle w:val="ListBullet2"/>
      </w:pPr>
      <w:r w:rsidRPr="006346E3">
        <w:t>diseases of the genitourinary system</w:t>
      </w:r>
    </w:p>
    <w:p w:rsidR="00000000" w:rsidRPr="006346E3" w:rsidP="006346E3">
      <w:pPr>
        <w:pStyle w:val="ListBullet2"/>
      </w:pPr>
      <w:r w:rsidRPr="006346E3">
        <w:t>pregnancy, childbirth and the puerperium conditions originating in the perinatal period including congenital malformations, deformations and chromosomal abnormalities</w:t>
      </w:r>
    </w:p>
    <w:p w:rsidR="00000000" w:rsidRPr="006346E3" w:rsidP="006346E3">
      <w:pPr>
        <w:pStyle w:val="ListBullet2"/>
      </w:pPr>
      <w:r w:rsidRPr="006346E3">
        <w:t>symptoms, signs and abnormal clinical and laboratory findings not elsewhere classified</w:t>
      </w:r>
    </w:p>
    <w:p w:rsidR="00000000" w:rsidRPr="006346E3" w:rsidP="006346E3">
      <w:pPr>
        <w:pStyle w:val="ListBullet2"/>
      </w:pPr>
      <w:r w:rsidRPr="006346E3">
        <w:t>in</w:t>
      </w:r>
      <w:r w:rsidRPr="006346E3">
        <w:t>jury, poisoning and causes of morbidity and mortality</w:t>
      </w:r>
    </w:p>
    <w:p w:rsidR="00000000" w:rsidRPr="006346E3" w:rsidP="006346E3">
      <w:pPr>
        <w:pStyle w:val="ListBullet"/>
      </w:pPr>
      <w:r w:rsidRPr="006346E3">
        <w:t>for each of the above, use reference materials to inform code assignment for unfamiliar clinical concepts</w:t>
      </w:r>
    </w:p>
    <w:p w:rsidR="00000000" w:rsidRPr="006346E3" w:rsidP="006346E3">
      <w:pPr>
        <w:pStyle w:val="ListBullet"/>
      </w:pPr>
      <w:r w:rsidRPr="006346E3">
        <w:t>for the above, episodes of care should collectively include the following:</w:t>
      </w:r>
    </w:p>
    <w:p w:rsidR="00000000" w:rsidRPr="006346E3" w:rsidP="006346E3">
      <w:pPr>
        <w:pStyle w:val="ListBullet2"/>
      </w:pPr>
      <w:r w:rsidRPr="006346E3">
        <w:t>same-day episodes o</w:t>
      </w:r>
      <w:r w:rsidRPr="006346E3">
        <w:t>f care cases</w:t>
      </w:r>
    </w:p>
    <w:p w:rsidR="00000000" w:rsidRPr="006346E3" w:rsidP="006346E3">
      <w:pPr>
        <w:pStyle w:val="ListBullet2"/>
      </w:pPr>
      <w:r w:rsidRPr="006346E3">
        <w:t>minor injuries</w:t>
      </w:r>
    </w:p>
    <w:p w:rsidR="00000000" w:rsidRPr="006346E3" w:rsidP="006346E3">
      <w:pPr>
        <w:pStyle w:val="ListBullet2"/>
      </w:pPr>
      <w:r w:rsidRPr="006346E3">
        <w:t>basic surgeries</w:t>
      </w:r>
    </w:p>
    <w:p w:rsidR="00000000" w:rsidRPr="006346E3" w:rsidP="006346E3">
      <w:pPr>
        <w:pStyle w:val="ListBullet2"/>
      </w:pPr>
      <w:r w:rsidRPr="006346E3">
        <w:t>overnight episodes of care</w:t>
      </w:r>
    </w:p>
    <w:p w:rsidR="00000000" w:rsidRPr="006346E3" w:rsidP="006346E3">
      <w:pPr>
        <w:pStyle w:val="ListBullet2"/>
      </w:pPr>
      <w:r w:rsidRPr="006346E3">
        <w:t>both acute and chronic forms of a disease or condition.</w:t>
      </w:r>
    </w:p>
    <w:p w:rsidR="00000000" w:rsidRPr="006346E3" w:rsidP="006346E3">
      <w:pPr>
        <w:pStyle w:val="AllowPageBreak"/>
      </w:pPr>
    </w:p>
    <w:p w:rsidR="00000000" w:rsidRPr="006346E3" w:rsidP="006346E3">
      <w:pPr>
        <w:pStyle w:val="Heading1"/>
      </w:pPr>
      <w:bookmarkStart w:id="3" w:name="O_1200050"/>
      <w:bookmarkEnd w:id="3"/>
      <w:r w:rsidRPr="006346E3">
        <w:t>Knowledge Evidence</w:t>
      </w:r>
    </w:p>
    <w:p w:rsidR="00000000" w:rsidRPr="006346E3" w:rsidP="000C2F77">
      <w:pPr>
        <w:pStyle w:val="BodyText"/>
      </w:pPr>
      <w:r w:rsidRPr="006346E3">
        <w:t>Demonstrated knowledge required to complete the tasks</w:t>
      </w:r>
      <w:r w:rsidRPr="006346E3">
        <w:t xml:space="preserve"> outlined in elements and performance criteria of this unit:</w:t>
      </w:r>
    </w:p>
    <w:p w:rsidR="00000000" w:rsidRPr="006346E3" w:rsidP="006346E3">
      <w:pPr>
        <w:pStyle w:val="ListBullet"/>
      </w:pPr>
      <w:r w:rsidRPr="006346E3">
        <w:t>definition of a clinical coder and clinical coding, and the purpose of coded clinical data</w:t>
      </w:r>
    </w:p>
    <w:p w:rsidR="00000000" w:rsidRPr="006346E3" w:rsidP="006346E3">
      <w:pPr>
        <w:pStyle w:val="ListBullet"/>
      </w:pPr>
      <w:r w:rsidRPr="006346E3">
        <w:t>codes of practice and guidelines in relation to clinical coding, including professional ethics</w:t>
      </w:r>
    </w:p>
    <w:p w:rsidR="00000000" w:rsidRPr="006346E3" w:rsidP="006346E3">
      <w:pPr>
        <w:pStyle w:val="ListBullet"/>
      </w:pPr>
      <w:r w:rsidRPr="006346E3">
        <w:t>Australi</w:t>
      </w:r>
      <w:r w:rsidRPr="006346E3">
        <w:t>an and State/Territory clinical coding standards and protocols</w:t>
      </w:r>
    </w:p>
    <w:p w:rsidR="00000000" w:rsidRPr="006346E3" w:rsidP="006346E3">
      <w:pPr>
        <w:pStyle w:val="ListBullet"/>
      </w:pPr>
      <w:r w:rsidRPr="006346E3">
        <w:t>rules and conventions applied to clinical data and relevant to coding</w:t>
      </w:r>
    </w:p>
    <w:p w:rsidR="00000000" w:rsidRPr="006346E3" w:rsidP="006346E3">
      <w:pPr>
        <w:pStyle w:val="ListBullet"/>
      </w:pPr>
      <w:r w:rsidRPr="006346E3">
        <w:t>sequencing protocols for clinical coding, including those for principal, additional diagnoses and interventions</w:t>
      </w:r>
    </w:p>
    <w:p w:rsidR="00000000" w:rsidRPr="006346E3" w:rsidP="006346E3">
      <w:pPr>
        <w:pStyle w:val="ListBullet"/>
      </w:pPr>
      <w:r w:rsidRPr="006346E3">
        <w:t xml:space="preserve">timescales </w:t>
      </w:r>
      <w:r w:rsidRPr="006346E3">
        <w:t>within which clinical coding must take place</w:t>
      </w:r>
    </w:p>
    <w:p w:rsidR="00000000" w:rsidRPr="006346E3" w:rsidP="006346E3">
      <w:pPr>
        <w:pStyle w:val="ListBullet"/>
      </w:pPr>
      <w:r w:rsidRPr="006346E3">
        <w:t>key performance indicators (KPI’s) and quality indicators for coded clinical data</w:t>
      </w:r>
    </w:p>
    <w:p w:rsidR="00000000" w:rsidRPr="006346E3" w:rsidP="006346E3">
      <w:pPr>
        <w:pStyle w:val="ListBullet"/>
      </w:pPr>
      <w:r w:rsidRPr="006346E3">
        <w:t>classifications and nomenclature relevant to clinical coding</w:t>
      </w:r>
    </w:p>
    <w:p w:rsidR="00000000" w:rsidRPr="006346E3" w:rsidP="006346E3">
      <w:pPr>
        <w:pStyle w:val="ListBullet"/>
      </w:pPr>
      <w:r w:rsidRPr="006346E3">
        <w:t>coding classifications, standards and conventions for:</w:t>
      </w:r>
    </w:p>
    <w:p w:rsidR="00000000" w:rsidRPr="006346E3" w:rsidP="006346E3">
      <w:pPr>
        <w:pStyle w:val="ListBullet2"/>
      </w:pPr>
      <w:r w:rsidRPr="006346E3">
        <w:t>infectious a</w:t>
      </w:r>
      <w:r w:rsidRPr="006346E3">
        <w:t>nd parasitic diseases</w:t>
      </w:r>
    </w:p>
    <w:p w:rsidR="00000000" w:rsidRPr="006346E3" w:rsidP="006346E3">
      <w:pPr>
        <w:pStyle w:val="ListBullet2"/>
      </w:pPr>
      <w:r w:rsidRPr="006346E3">
        <w:t>neoplasms</w:t>
      </w:r>
    </w:p>
    <w:p w:rsidR="00000000" w:rsidRPr="006346E3" w:rsidP="006346E3">
      <w:pPr>
        <w:pStyle w:val="ListBullet2"/>
      </w:pPr>
      <w:r w:rsidRPr="006346E3">
        <w:t>diseases of the blood and blood-forming organs and certain disorders involving the immune mechanism</w:t>
      </w:r>
    </w:p>
    <w:p w:rsidR="00000000" w:rsidRPr="006346E3" w:rsidP="006346E3">
      <w:pPr>
        <w:pStyle w:val="ListBullet2"/>
      </w:pPr>
      <w:r w:rsidRPr="006346E3">
        <w:t>endocrine, nutritional and metabolic diseases</w:t>
      </w:r>
    </w:p>
    <w:p w:rsidR="00000000" w:rsidRPr="006346E3" w:rsidP="006346E3">
      <w:pPr>
        <w:pStyle w:val="ListBullet2"/>
      </w:pPr>
      <w:r w:rsidRPr="006346E3">
        <w:t>mental and behavioural disorders</w:t>
      </w:r>
    </w:p>
    <w:p w:rsidR="00000000" w:rsidRPr="006346E3" w:rsidP="006346E3">
      <w:pPr>
        <w:pStyle w:val="ListBullet2"/>
      </w:pPr>
      <w:r w:rsidRPr="006346E3">
        <w:t>diseases of the nervous system</w:t>
      </w:r>
    </w:p>
    <w:p w:rsidR="00000000" w:rsidRPr="006346E3" w:rsidP="006346E3">
      <w:pPr>
        <w:pStyle w:val="ListBullet2"/>
      </w:pPr>
      <w:r w:rsidRPr="006346E3">
        <w:t>diseases of the eye and adnexa</w:t>
      </w:r>
    </w:p>
    <w:p w:rsidR="00000000" w:rsidRPr="006346E3" w:rsidP="006346E3">
      <w:pPr>
        <w:pStyle w:val="ListBullet2"/>
      </w:pPr>
      <w:r w:rsidRPr="006346E3">
        <w:t>diseases of the ear and mastoid process</w:t>
      </w:r>
    </w:p>
    <w:p w:rsidR="00000000" w:rsidRPr="006346E3" w:rsidP="006346E3">
      <w:pPr>
        <w:pStyle w:val="ListBullet2"/>
      </w:pPr>
      <w:r w:rsidRPr="006346E3">
        <w:t>diseases of the circulatory system</w:t>
      </w:r>
    </w:p>
    <w:p w:rsidR="00000000" w:rsidRPr="006346E3" w:rsidP="006346E3">
      <w:pPr>
        <w:pStyle w:val="ListBullet2"/>
      </w:pPr>
      <w:r w:rsidRPr="006346E3">
        <w:t>diseases of the respiratory system</w:t>
      </w:r>
    </w:p>
    <w:p w:rsidR="00000000" w:rsidRPr="006346E3" w:rsidP="006346E3">
      <w:pPr>
        <w:pStyle w:val="ListBullet2"/>
      </w:pPr>
      <w:r w:rsidRPr="006346E3">
        <w:t>diseases of the digestive system</w:t>
      </w:r>
    </w:p>
    <w:p w:rsidR="00000000" w:rsidRPr="006346E3" w:rsidP="006346E3">
      <w:pPr>
        <w:pStyle w:val="ListBullet2"/>
      </w:pPr>
      <w:r w:rsidRPr="006346E3">
        <w:t>diseases of the skin and subcutaneous tissue</w:t>
      </w:r>
    </w:p>
    <w:p w:rsidR="00000000" w:rsidRPr="006346E3" w:rsidP="006346E3">
      <w:pPr>
        <w:pStyle w:val="ListBullet2"/>
      </w:pPr>
      <w:r w:rsidRPr="006346E3">
        <w:t>diseases of the musculoskeletal syste</w:t>
      </w:r>
      <w:r w:rsidRPr="006346E3">
        <w:t>m and connective tissue</w:t>
      </w:r>
    </w:p>
    <w:p w:rsidR="00000000" w:rsidRPr="006346E3" w:rsidP="006346E3">
      <w:pPr>
        <w:pStyle w:val="ListBullet2"/>
      </w:pPr>
      <w:r w:rsidRPr="006346E3">
        <w:t>diseases of the genitourinary system</w:t>
      </w:r>
    </w:p>
    <w:p w:rsidR="00000000" w:rsidRPr="006346E3" w:rsidP="006346E3">
      <w:pPr>
        <w:pStyle w:val="ListBullet2"/>
      </w:pPr>
      <w:r w:rsidRPr="006346E3">
        <w:t>pregnancy, childbirth and the puerperium conditions originating in the perinatal period including congenital malformations, deformations and chromosomal abnormalities</w:t>
      </w:r>
    </w:p>
    <w:p w:rsidR="00000000" w:rsidRPr="006346E3" w:rsidP="006346E3">
      <w:pPr>
        <w:pStyle w:val="ListBullet2"/>
      </w:pPr>
      <w:r w:rsidRPr="006346E3">
        <w:t>symptoms, signs and abnormal</w:t>
      </w:r>
      <w:r w:rsidRPr="006346E3">
        <w:t xml:space="preserve"> clinical and laboratory findings not elsewhere classified </w:t>
      </w:r>
    </w:p>
    <w:p w:rsidR="00000000" w:rsidRPr="006346E3" w:rsidP="006346E3">
      <w:pPr>
        <w:pStyle w:val="ListBullet2"/>
      </w:pPr>
      <w:r w:rsidRPr="006346E3">
        <w:t>injury, poisoning and causes of morbidity and mortality.</w:t>
      </w:r>
    </w:p>
    <w:p w:rsidR="00000000" w:rsidRPr="006346E3" w:rsidP="006346E3">
      <w:pPr>
        <w:pStyle w:val="AllowPageBreak"/>
      </w:pPr>
    </w:p>
    <w:p w:rsidR="00000000" w:rsidRPr="006346E3" w:rsidP="006346E3">
      <w:pPr>
        <w:pStyle w:val="Heading1"/>
      </w:pPr>
      <w:bookmarkStart w:id="4" w:name="O_1200049"/>
      <w:bookmarkEnd w:id="4"/>
      <w:r w:rsidRPr="006346E3">
        <w:t>Assessment Conditions</w:t>
      </w:r>
    </w:p>
    <w:p w:rsidR="00000000" w:rsidRPr="006346E3" w:rsidP="000C2F77">
      <w:pPr>
        <w:pStyle w:val="BodyText"/>
      </w:pPr>
      <w:r w:rsidRPr="006346E3">
        <w:t>Skills must be demonstrated in the workplace or in a simulated environment that reflects workplace</w:t>
      </w:r>
      <w:r w:rsidRPr="006346E3">
        <w:t xml:space="preserve"> conditions.</w:t>
      </w:r>
    </w:p>
    <w:p w:rsidR="00000000" w:rsidRPr="006346E3" w:rsidP="000C2F77">
      <w:pPr>
        <w:pStyle w:val="BodyText"/>
      </w:pPr>
      <w:r w:rsidRPr="006346E3">
        <w:t>Assessment must ensure access to:</w:t>
      </w:r>
    </w:p>
    <w:p w:rsidR="00000000" w:rsidRPr="006346E3" w:rsidP="006346E3">
      <w:pPr>
        <w:pStyle w:val="ListBullet"/>
      </w:pPr>
      <w:r w:rsidRPr="006346E3">
        <w:t>real-life patient health care records or de-identified real patient health care records either electronic or hard copy, that reflect current clinical practice</w:t>
      </w:r>
    </w:p>
    <w:p w:rsidR="00000000" w:rsidRPr="006346E3" w:rsidP="006346E3">
      <w:pPr>
        <w:pStyle w:val="ListBullet"/>
      </w:pPr>
      <w:r w:rsidRPr="006346E3">
        <w:t>basic patient health care records to include single condition reason for admission with up to two co-morbidities or an intervention including:</w:t>
      </w:r>
    </w:p>
    <w:p w:rsidR="00000000" w:rsidRPr="006346E3" w:rsidP="006346E3">
      <w:pPr>
        <w:pStyle w:val="ListBullet2"/>
      </w:pPr>
      <w:r w:rsidRPr="006346E3">
        <w:t>planned day surgery or treatment</w:t>
      </w:r>
    </w:p>
    <w:p w:rsidR="00000000" w:rsidRPr="006346E3" w:rsidP="006346E3">
      <w:pPr>
        <w:pStyle w:val="ListBullet2"/>
      </w:pPr>
      <w:r w:rsidRPr="006346E3">
        <w:t>uncomplicated deliveries</w:t>
      </w:r>
    </w:p>
    <w:p w:rsidR="00000000" w:rsidRPr="006346E3" w:rsidP="006346E3">
      <w:pPr>
        <w:pStyle w:val="ListBullet2"/>
      </w:pPr>
      <w:r w:rsidRPr="006346E3">
        <w:t>term babies with minor complications</w:t>
      </w:r>
    </w:p>
    <w:p w:rsidR="00000000" w:rsidRPr="006346E3" w:rsidP="006346E3">
      <w:pPr>
        <w:pStyle w:val="ListBullet2"/>
      </w:pPr>
      <w:r w:rsidRPr="006346E3">
        <w:t>single trauma</w:t>
      </w:r>
    </w:p>
    <w:p w:rsidR="00000000" w:rsidRPr="006346E3" w:rsidP="006346E3">
      <w:pPr>
        <w:pStyle w:val="ListBullet2"/>
      </w:pPr>
      <w:r w:rsidRPr="006346E3">
        <w:t>acu</w:t>
      </w:r>
      <w:r w:rsidRPr="006346E3">
        <w:t>te on chronic conditions</w:t>
      </w:r>
    </w:p>
    <w:p w:rsidR="00000000" w:rsidRPr="006346E3" w:rsidP="006346E3">
      <w:pPr>
        <w:pStyle w:val="ListBullet"/>
      </w:pPr>
      <w:r w:rsidRPr="006346E3">
        <w:t>current Australian coding classification</w:t>
      </w:r>
    </w:p>
    <w:p w:rsidR="00000000" w:rsidRPr="006346E3" w:rsidP="006346E3">
      <w:pPr>
        <w:pStyle w:val="ListBullet"/>
      </w:pPr>
      <w:r w:rsidRPr="006346E3">
        <w:t>medical dictionary or other equivalent medical resource</w:t>
      </w:r>
    </w:p>
    <w:p w:rsidR="00000000" w:rsidRPr="006346E3" w:rsidP="006346E3">
      <w:pPr>
        <w:pStyle w:val="ListBullet"/>
      </w:pPr>
      <w:r w:rsidRPr="006346E3">
        <w:t>organisational policies and procedures</w:t>
      </w:r>
    </w:p>
    <w:p w:rsidR="00000000" w:rsidRPr="006346E3" w:rsidP="006346E3">
      <w:pPr>
        <w:pStyle w:val="ListBullet"/>
      </w:pPr>
      <w:r w:rsidRPr="006346E3">
        <w:t>National and State/Territory legislation relevant to clinical coding</w:t>
      </w:r>
    </w:p>
    <w:p w:rsidR="00000000" w:rsidRPr="006346E3" w:rsidP="000C2F77">
      <w:pPr>
        <w:pStyle w:val="BodyText"/>
      </w:pPr>
      <w:r w:rsidRPr="006346E3">
        <w:t>Assessors must satisfy th</w:t>
      </w:r>
      <w:r w:rsidRPr="006346E3">
        <w:t>e Standards for Registered Training Organisations’ requirements for assessors.</w:t>
      </w:r>
    </w:p>
    <w:p w:rsidR="00000000" w:rsidRPr="006346E3" w:rsidP="006346E3">
      <w:pPr>
        <w:pStyle w:val="Heading1"/>
      </w:pPr>
      <w:bookmarkStart w:id="5" w:name="O_1200063"/>
      <w:bookmarkEnd w:id="5"/>
      <w:r w:rsidRPr="006346E3">
        <w:t>Links</w:t>
      </w:r>
    </w:p>
    <w:p w:rsidR="00000000" w:rsidRPr="006346E3" w:rsidP="000C2F77">
      <w:pPr>
        <w:pStyle w:val="BodyText"/>
      </w:pPr>
      <w:r w:rsidRPr="006346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12EB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346E3" w:rsidP="006346E3"/>
    <w:sectPr w:rsidSect="006346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E3" w:rsidRPr="000C2F77" w:rsidP="000C2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F77" w:rsidP="00634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2F77" w:rsidP="00634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C2F77" w:rsidP="00634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6E3" w:rsidRPr="000C2F77" w:rsidP="000C2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F77" w:rsidRPr="002D2AF8" w:rsidP="00634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HLTCCD006 Undertake basic clinical coding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C2F77" w:rsidP="00634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8CF2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A0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403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6E3"/>
  </w:style>
  <w:style w:type="character" w:customStyle="1" w:styleId="Heading1Char">
    <w:name w:val="Heading 1 Char"/>
    <w:basedOn w:val="DefaultParagraphFont"/>
    <w:link w:val="Heading1"/>
    <w:rsid w:val="00634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6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6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6E3"/>
    <w:rPr>
      <w:b/>
      <w:spacing w:val="0"/>
    </w:rPr>
  </w:style>
  <w:style w:type="paragraph" w:styleId="ListBullet2">
    <w:name w:val="List Bullet 2"/>
    <w:basedOn w:val="List2"/>
    <w:rsid w:val="006346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4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6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6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6E3"/>
    <w:rPr>
      <w:i/>
    </w:rPr>
  </w:style>
  <w:style w:type="paragraph" w:styleId="Caption">
    <w:name w:val="caption"/>
    <w:basedOn w:val="BodyText"/>
    <w:next w:val="Normal"/>
    <w:qFormat/>
    <w:rsid w:val="00634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6E3"/>
  </w:style>
  <w:style w:type="paragraph" w:styleId="TableofFigures">
    <w:name w:val="table of figures"/>
    <w:basedOn w:val="Normal"/>
    <w:next w:val="Normal"/>
    <w:semiHidden/>
    <w:rsid w:val="00634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6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46E3"/>
    <w:rPr>
      <w:rFonts w:ascii="Wingdings" w:hAnsi="Wingdings"/>
    </w:rPr>
  </w:style>
  <w:style w:type="paragraph" w:customStyle="1" w:styleId="TableHeading">
    <w:name w:val="Table Heading"/>
    <w:basedOn w:val="HeadingBase"/>
    <w:rsid w:val="00634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6E3"/>
    <w:rPr>
      <w:color w:val="0033CC"/>
      <w:u w:val="none"/>
    </w:rPr>
  </w:style>
  <w:style w:type="paragraph" w:customStyle="1" w:styleId="BodyTextRight">
    <w:name w:val="Body Text Right"/>
    <w:basedOn w:val="BodyText"/>
    <w:rsid w:val="00634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6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6E3"/>
    <w:rPr>
      <w:sz w:val="32"/>
    </w:rPr>
  </w:style>
  <w:style w:type="paragraph" w:customStyle="1" w:styleId="HeadingProcedure">
    <w:name w:val="Heading Procedure"/>
    <w:basedOn w:val="HeadingBase"/>
    <w:next w:val="Normal"/>
    <w:rsid w:val="00634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6E3"/>
    <w:pPr>
      <w:spacing w:before="60" w:after="60"/>
    </w:pPr>
  </w:style>
  <w:style w:type="paragraph" w:styleId="ListContinue">
    <w:name w:val="List Continue"/>
    <w:basedOn w:val="List"/>
    <w:rsid w:val="006346E3"/>
    <w:pPr>
      <w:ind w:firstLine="0"/>
    </w:pPr>
  </w:style>
  <w:style w:type="paragraph" w:customStyle="1" w:styleId="ListNote">
    <w:name w:val="List Note"/>
    <w:basedOn w:val="List"/>
    <w:rsid w:val="00634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6E3"/>
    <w:rPr>
      <w:rFonts w:ascii="Courier New" w:hAnsi="Courier New"/>
    </w:rPr>
  </w:style>
  <w:style w:type="paragraph" w:customStyle="1" w:styleId="NoteBullet">
    <w:name w:val="Note Bullet"/>
    <w:basedOn w:val="Note"/>
    <w:rsid w:val="00634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6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4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6E3"/>
    <w:rPr>
      <w:b/>
      <w:smallCaps/>
    </w:rPr>
  </w:style>
  <w:style w:type="paragraph" w:customStyle="1" w:styleId="TableListNumber">
    <w:name w:val="Table List Number"/>
    <w:basedOn w:val="ListNumber"/>
    <w:rsid w:val="00634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6E3"/>
    <w:pPr>
      <w:numPr>
        <w:numId w:val="9"/>
      </w:numPr>
    </w:pPr>
  </w:style>
  <w:style w:type="paragraph" w:customStyle="1" w:styleId="ListAlpha2">
    <w:name w:val="List Alpha 2"/>
    <w:basedOn w:val="List2"/>
    <w:rsid w:val="006346E3"/>
    <w:pPr>
      <w:numPr>
        <w:numId w:val="8"/>
      </w:numPr>
    </w:pPr>
  </w:style>
  <w:style w:type="paragraph" w:styleId="List2">
    <w:name w:val="List 2"/>
    <w:basedOn w:val="BodyText"/>
    <w:rsid w:val="00634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6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6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46E3"/>
    <w:pPr>
      <w:numPr>
        <w:numId w:val="4"/>
      </w:numPr>
    </w:pPr>
  </w:style>
  <w:style w:type="paragraph" w:styleId="ListContinue2">
    <w:name w:val="List Continue 2"/>
    <w:basedOn w:val="List2"/>
    <w:rsid w:val="006346E3"/>
    <w:pPr>
      <w:ind w:firstLine="0"/>
    </w:pPr>
  </w:style>
  <w:style w:type="paragraph" w:styleId="ListContinue3">
    <w:name w:val="List Continue 3"/>
    <w:basedOn w:val="List3"/>
    <w:rsid w:val="006346E3"/>
    <w:pPr>
      <w:ind w:left="1021" w:firstLine="0"/>
    </w:pPr>
  </w:style>
  <w:style w:type="paragraph" w:styleId="ListContinue4">
    <w:name w:val="List Continue 4"/>
    <w:basedOn w:val="List4"/>
    <w:rsid w:val="006346E3"/>
    <w:pPr>
      <w:ind w:firstLine="0"/>
    </w:pPr>
  </w:style>
  <w:style w:type="paragraph" w:styleId="ListContinue5">
    <w:name w:val="List Continue 5"/>
    <w:basedOn w:val="List5"/>
    <w:rsid w:val="006346E3"/>
    <w:pPr>
      <w:ind w:firstLine="0"/>
    </w:pPr>
  </w:style>
  <w:style w:type="paragraph" w:styleId="ListNumber3">
    <w:name w:val="List Number 3"/>
    <w:basedOn w:val="List3"/>
    <w:rsid w:val="006346E3"/>
    <w:pPr>
      <w:numPr>
        <w:numId w:val="5"/>
      </w:numPr>
    </w:pPr>
  </w:style>
  <w:style w:type="paragraph" w:styleId="ListNumber4">
    <w:name w:val="List Number 4"/>
    <w:basedOn w:val="List4"/>
    <w:rsid w:val="006346E3"/>
    <w:pPr>
      <w:numPr>
        <w:numId w:val="6"/>
      </w:numPr>
    </w:pPr>
  </w:style>
  <w:style w:type="paragraph" w:styleId="ListNumber5">
    <w:name w:val="List Number 5"/>
    <w:basedOn w:val="List5"/>
    <w:rsid w:val="006346E3"/>
    <w:pPr>
      <w:numPr>
        <w:numId w:val="7"/>
      </w:numPr>
    </w:pPr>
  </w:style>
  <w:style w:type="paragraph" w:styleId="BlockText">
    <w:name w:val="Block Text"/>
    <w:basedOn w:val="Normal"/>
    <w:rsid w:val="00634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6E3"/>
    <w:rPr>
      <w:sz w:val="16"/>
      <w:vertAlign w:val="superscript"/>
    </w:rPr>
  </w:style>
  <w:style w:type="character" w:customStyle="1" w:styleId="Symbols">
    <w:name w:val="Symbols"/>
    <w:basedOn w:val="DefaultParagraphFont"/>
    <w:rsid w:val="006346E3"/>
    <w:rPr>
      <w:rFonts w:ascii="Symbol" w:hAnsi="Symbol"/>
    </w:rPr>
  </w:style>
  <w:style w:type="character" w:customStyle="1" w:styleId="MenuOptions">
    <w:name w:val="Menu Options"/>
    <w:basedOn w:val="DefaultParagraphFont"/>
    <w:rsid w:val="00634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6E3"/>
    <w:rPr>
      <w:b/>
    </w:rPr>
  </w:style>
  <w:style w:type="character" w:customStyle="1" w:styleId="Underlined">
    <w:name w:val="Underlined"/>
    <w:basedOn w:val="DefaultParagraphFont"/>
    <w:rsid w:val="006346E3"/>
    <w:rPr>
      <w:u w:val="single"/>
    </w:rPr>
  </w:style>
  <w:style w:type="paragraph" w:customStyle="1" w:styleId="TableBodyTextRight">
    <w:name w:val="Table Body Text Right"/>
    <w:basedOn w:val="TableBodyText"/>
    <w:rsid w:val="00634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6E3"/>
    <w:rPr>
      <w:sz w:val="18"/>
    </w:rPr>
  </w:style>
  <w:style w:type="paragraph" w:customStyle="1" w:styleId="BodySmallRight">
    <w:name w:val="Body Small Right"/>
    <w:basedOn w:val="BodyTextRight"/>
    <w:rsid w:val="006346E3"/>
    <w:rPr>
      <w:sz w:val="18"/>
      <w:szCs w:val="18"/>
    </w:rPr>
  </w:style>
  <w:style w:type="paragraph" w:customStyle="1" w:styleId="MarginEdition">
    <w:name w:val="Margin Edition"/>
    <w:basedOn w:val="MarginNote"/>
    <w:rsid w:val="00634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6E3"/>
    <w:rPr>
      <w:sz w:val="2"/>
      <w:szCs w:val="2"/>
    </w:rPr>
  </w:style>
  <w:style w:type="character" w:customStyle="1" w:styleId="Small">
    <w:name w:val="Small"/>
    <w:basedOn w:val="DefaultParagraphFont"/>
    <w:rsid w:val="006346E3"/>
    <w:rPr>
      <w:sz w:val="16"/>
    </w:rPr>
  </w:style>
  <w:style w:type="paragraph" w:customStyle="1" w:styleId="WideTable">
    <w:name w:val="Wide Table"/>
    <w:basedOn w:val="Normal"/>
    <w:rsid w:val="00634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6E3"/>
  </w:style>
  <w:style w:type="paragraph" w:styleId="Quote">
    <w:name w:val="Quote"/>
    <w:basedOn w:val="Heading1"/>
    <w:link w:val="QuoteChar"/>
    <w:qFormat/>
    <w:rsid w:val="00634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6E3"/>
    <w:pPr>
      <w:pageBreakBefore/>
    </w:pPr>
  </w:style>
  <w:style w:type="paragraph" w:customStyle="1" w:styleId="Border">
    <w:name w:val="Border"/>
    <w:basedOn w:val="Normal"/>
    <w:qFormat/>
    <w:rsid w:val="00634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6E3"/>
    <w:rPr>
      <w:u w:val="single"/>
    </w:rPr>
  </w:style>
  <w:style w:type="character" w:customStyle="1" w:styleId="BoldandItalics">
    <w:name w:val="Bold and Italics"/>
    <w:qFormat/>
    <w:rsid w:val="006346E3"/>
    <w:rPr>
      <w:b/>
      <w:i/>
      <w:u w:val="none"/>
    </w:rPr>
  </w:style>
  <w:style w:type="paragraph" w:styleId="BalloonText">
    <w:name w:val="Balloon Text"/>
    <w:basedOn w:val="Normal"/>
    <w:link w:val="BalloonTextChar"/>
    <w:rsid w:val="00634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6E3"/>
    <w:pPr>
      <w:spacing w:before="0" w:after="0"/>
    </w:pPr>
  </w:style>
  <w:style w:type="paragraph" w:customStyle="1" w:styleId="BodyTextBold">
    <w:name w:val="Body Text Bold"/>
    <w:basedOn w:val="BodyText"/>
    <w:qFormat/>
    <w:rsid w:val="006346E3"/>
    <w:rPr>
      <w:b/>
    </w:rPr>
  </w:style>
  <w:style w:type="character" w:styleId="Hyperlink">
    <w:name w:val="Hyperlink"/>
    <w:basedOn w:val="DefaultParagraphFont"/>
    <w:uiPriority w:val="99"/>
    <w:unhideWhenUsed/>
    <w:rsid w:val="000C2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4341</Characters>
  <Application>Microsoft Office Word</Application>
  <DocSecurity>0</DocSecurity>
  <Lines>117</Lines>
  <Paragraphs>98</Paragraphs>
  <ScaleCrop>false</ScaleCrop>
  <Company>Author-it Software Corporation Ltd.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HLTCCD006 Undertake basic clinical coding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2023-07-01T04:19:00Z</dcterms:created>
  <dcterms:modified xsi:type="dcterms:W3CDTF">2023-07-01T04:19:00Z</dcterms:modified>
</cp:coreProperties>
</file>