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661" w:rsidP="001C0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HLTCCD005 Abstract information for clinical coding</w:t>
      </w:r>
      <w:r>
        <w:fldChar w:fldCharType="end"/>
      </w:r>
    </w:p>
    <w:p w:rsidR="001C0661" w:rsidP="001C0661">
      <w:pPr>
        <w:pStyle w:val="Version"/>
        <w:sectPr w:rsidSect="005A3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3564" w:rsidP="005A3564">
      <w:pPr>
        <w:pStyle w:val="SuperHeading"/>
      </w:pPr>
      <w:r w:rsidRPr="005A3564">
        <w:t>HLTCCD005 Abstract information for clinical coding</w:t>
      </w:r>
    </w:p>
    <w:p w:rsidR="00000000" w:rsidRPr="005A3564" w:rsidP="005A3564">
      <w:pPr>
        <w:pStyle w:val="Heading1"/>
      </w:pPr>
      <w:bookmarkStart w:id="1" w:name="O_1200078"/>
      <w:bookmarkEnd w:id="1"/>
      <w:r w:rsidRPr="005A35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564" w:rsidP="005A3564">
            <w:pPr>
              <w:pStyle w:val="BodyText"/>
            </w:pPr>
            <w:r w:rsidRPr="005A356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rPr>
                <w:rStyle w:val="SpecialBold"/>
              </w:rPr>
              <w:t>Comments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BodyText"/>
            </w:pPr>
            <w:r w:rsidRPr="005A3564">
              <w:t>Release 2 HLTCCD005 Abstract information for clinical coding supersedes and is equivalent to Release 1 HLTCCD005 Abstract information for clinical coding.</w:t>
            </w:r>
          </w:p>
          <w:p w:rsidR="00000000" w:rsidRPr="005A3564" w:rsidP="005A3564">
            <w:pPr>
              <w:pStyle w:val="BodyText"/>
            </w:pPr>
            <w:r w:rsidRPr="005A3564">
              <w:t>Updated:</w:t>
            </w:r>
          </w:p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Mapping details and minor correcti</w:t>
            </w:r>
            <w:r w:rsidRPr="005A3564">
              <w:t>ons.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BodyText"/>
            </w:pPr>
            <w:r w:rsidRPr="005A3564">
              <w:t>HLTCCD005 Abstract information for clinical coding no equivalent unit.</w:t>
            </w:r>
          </w:p>
        </w:tc>
      </w:tr>
    </w:tbl>
    <w:p w:rsidR="00000000" w:rsidRPr="005A3564" w:rsidP="005A3564">
      <w:pPr>
        <w:pStyle w:val="BodyText"/>
      </w:pPr>
    </w:p>
    <w:p w:rsidR="00000000" w:rsidRPr="005A3564" w:rsidP="005A3564">
      <w:pPr>
        <w:pStyle w:val="AllowPageBreak"/>
      </w:pPr>
    </w:p>
    <w:p w:rsidR="00000000" w:rsidRPr="005A3564" w:rsidP="005A3564">
      <w:pPr>
        <w:pStyle w:val="Heading1"/>
      </w:pPr>
      <w:bookmarkStart w:id="2" w:name="O_1200077"/>
      <w:bookmarkEnd w:id="2"/>
      <w:r w:rsidRPr="005A3564">
        <w:t>Application</w:t>
      </w:r>
    </w:p>
    <w:p w:rsidR="00000000" w:rsidRPr="005A3564" w:rsidP="001C0661">
      <w:pPr>
        <w:pStyle w:val="BodyText"/>
      </w:pPr>
      <w:r w:rsidRPr="005A3564">
        <w:t>This unit describes the performance outcomes, skills and knowledge required to identify and abstract clinical information from a patient health care record for clinical coding.</w:t>
      </w:r>
    </w:p>
    <w:p w:rsidR="00000000" w:rsidRPr="005A3564" w:rsidP="001C0661">
      <w:pPr>
        <w:pStyle w:val="BodyText"/>
      </w:pPr>
      <w:r w:rsidRPr="005A3564">
        <w:t>This unit applies to clinical coders who are responsible for extracting and int</w:t>
      </w:r>
      <w:r w:rsidRPr="005A3564">
        <w:t>erpreting patient clinical information for the purposes of clinical coding.  Work may be performed as an individual or as part of a team under limited supervision.</w:t>
      </w:r>
    </w:p>
    <w:p w:rsidR="00000000" w:rsidRPr="005A3564" w:rsidP="001C0661">
      <w:pPr>
        <w:pStyle w:val="BodyText"/>
      </w:pPr>
      <w:r w:rsidRPr="005A3564">
        <w:t xml:space="preserve">The skills in this unit must be applied in accordance with Commonwealth and State/Territory </w:t>
      </w:r>
      <w:r w:rsidRPr="005A3564">
        <w:t>legislation, Australian standards and industry codes of practice.</w:t>
      </w:r>
    </w:p>
    <w:p w:rsidR="00000000" w:rsidRPr="005A3564" w:rsidP="001C0661">
      <w:pPr>
        <w:pStyle w:val="BodyText"/>
      </w:pPr>
      <w:r w:rsidRPr="005A3564">
        <w:t>No occupational licensing, certification or specific legislative requirements apply to this unit at the time of publication.</w:t>
      </w:r>
    </w:p>
    <w:p w:rsidR="00000000" w:rsidRPr="005A3564" w:rsidP="005A3564">
      <w:pPr>
        <w:pStyle w:val="Heading1"/>
      </w:pPr>
      <w:bookmarkStart w:id="3" w:name="O_1200076"/>
      <w:bookmarkEnd w:id="3"/>
      <w:r w:rsidRPr="005A3564">
        <w:t>Pre-requisite Unit</w:t>
      </w:r>
    </w:p>
    <w:p w:rsidR="00000000" w:rsidRPr="005A3564" w:rsidP="001C0661">
      <w:pPr>
        <w:pStyle w:val="BodyText"/>
      </w:pPr>
      <w:r w:rsidRPr="005A3564">
        <w:t xml:space="preserve">Note: Units marked with an </w:t>
      </w:r>
      <w:r w:rsidRPr="005A3564">
        <w:t xml:space="preserve">asterisk* include one or more prerequisite units of competency. Refer to unit of competency for prerequisite requirements.  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904"/>
      </w:tblGrid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BodyText"/>
            </w:pPr>
            <w:r w:rsidRPr="005A3564">
              <w:rPr>
                <w:rStyle w:val="SpecialBold"/>
              </w:rPr>
              <w:t>Unit code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rPr>
                <w:rStyle w:val="SpecialBold"/>
              </w:rPr>
              <w:t>Unit title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HLTCCD002*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Interpret and navigate health care records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HLTCCD003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Use medical terminology in health care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t>HLTCCD004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BodyText"/>
            </w:pPr>
            <w:r w:rsidRPr="005A3564">
              <w:t>Interpret clinical documentation using knowledge of anatomy and physiology</w:t>
            </w:r>
          </w:p>
        </w:tc>
      </w:tr>
    </w:tbl>
    <w:p w:rsidR="00000000" w:rsidRPr="005A3564" w:rsidP="005A3564">
      <w:pPr>
        <w:pStyle w:val="BodyText"/>
      </w:pPr>
    </w:p>
    <w:p w:rsidR="00000000" w:rsidRPr="005A3564" w:rsidP="005A3564">
      <w:pPr>
        <w:pStyle w:val="AllowPageBreak"/>
      </w:pPr>
    </w:p>
    <w:p w:rsidR="00000000" w:rsidRPr="005A3564" w:rsidP="005A3564">
      <w:pPr>
        <w:pStyle w:val="Heading1"/>
      </w:pPr>
      <w:bookmarkStart w:id="4" w:name="O_1200075"/>
      <w:bookmarkEnd w:id="4"/>
      <w:r w:rsidRPr="005A3564">
        <w:t>Competency Field</w:t>
      </w:r>
    </w:p>
    <w:p w:rsidR="00000000" w:rsidRPr="005A3564" w:rsidP="001C0661">
      <w:pPr>
        <w:pStyle w:val="BodyText"/>
      </w:pPr>
      <w:r w:rsidRPr="005A3564">
        <w:t>Clinical Coding</w:t>
      </w:r>
    </w:p>
    <w:p w:rsidR="00000000" w:rsidRPr="005A3564" w:rsidP="005A3564">
      <w:pPr>
        <w:pStyle w:val="Heading1"/>
      </w:pPr>
      <w:bookmarkStart w:id="5" w:name="O_1200074"/>
      <w:bookmarkEnd w:id="5"/>
      <w:r w:rsidRPr="005A3564">
        <w:t>Unit Sector</w:t>
      </w:r>
    </w:p>
    <w:p w:rsidR="00000000" w:rsidRPr="005A3564" w:rsidP="001C0661">
      <w:pPr>
        <w:pStyle w:val="BodyText"/>
      </w:pPr>
      <w:r w:rsidRPr="005A3564">
        <w:t>Health Administration</w:t>
      </w:r>
    </w:p>
    <w:p w:rsidR="00000000" w:rsidRPr="005A3564" w:rsidP="005A3564">
      <w:pPr>
        <w:pStyle w:val="Heading1"/>
      </w:pPr>
      <w:bookmarkStart w:id="6" w:name="O_1200073"/>
      <w:bookmarkEnd w:id="6"/>
      <w:r w:rsidRPr="005A35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BodyText"/>
            </w:pPr>
            <w:r w:rsidRPr="005A35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rPr>
                <w:rStyle w:val="SpecialBold"/>
              </w:rPr>
              <w:t>PE</w:t>
            </w:r>
            <w:r w:rsidRPr="005A3564">
              <w:rPr>
                <w:rStyle w:val="SpecialBold"/>
              </w:rPr>
              <w:t>RFORMANCE</w:t>
            </w:r>
            <w:r w:rsidRPr="005A3564">
              <w:t xml:space="preserve"> </w:t>
            </w:r>
            <w:r w:rsidRPr="005A3564">
              <w:rPr>
                <w:rStyle w:val="SpecialBold"/>
              </w:rPr>
              <w:t>CRITERIA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BodyText"/>
            </w:pPr>
            <w:r w:rsidRPr="005A356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BodyText"/>
              <w:rPr>
                <w:lang w:val="en-NZ"/>
              </w:rPr>
            </w:pPr>
            <w:r w:rsidRPr="005A35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List"/>
              <w:rPr>
                <w:lang w:val="en-NZ"/>
              </w:rPr>
            </w:pPr>
            <w:r w:rsidRPr="005A3564">
              <w:t>1.  Evaluate clinical information from health care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List"/>
            </w:pPr>
            <w:r w:rsidRPr="005A3564">
              <w:t>1.1. Determine method of accessing patient information held in health care records and Patient Administration System (PAS).</w:t>
            </w:r>
          </w:p>
          <w:p w:rsidR="00000000" w:rsidRPr="005A3564" w:rsidP="005A3564">
            <w:pPr>
              <w:pStyle w:val="List"/>
            </w:pPr>
            <w:r w:rsidRPr="005A3564">
              <w:t>1.2. Interpret patient health care records completed by health care professionals.</w:t>
            </w:r>
          </w:p>
          <w:p w:rsidR="00000000" w:rsidRPr="005A3564" w:rsidP="005A3564">
            <w:pPr>
              <w:pStyle w:val="List"/>
            </w:pPr>
            <w:r w:rsidRPr="005A3564">
              <w:t>1.3. Establish validity of clinical information a</w:t>
            </w:r>
            <w:r w:rsidRPr="005A3564">
              <w:t>nd patient demographic and administrative data sourced in relation to episode of care being coded.</w:t>
            </w:r>
          </w:p>
          <w:p w:rsidR="00000000" w:rsidRPr="005A3564" w:rsidP="005A3564">
            <w:pPr>
              <w:pStyle w:val="List"/>
            </w:pPr>
            <w:r w:rsidRPr="005A3564">
              <w:t>1.4. Confirm documentation supports coding criteria in detail required to meet coding requirements.</w:t>
            </w:r>
          </w:p>
          <w:p w:rsidR="00000000" w:rsidP="005A3564">
            <w:pPr>
              <w:pStyle w:val="List"/>
              <w:rPr>
                <w:lang w:val="en-NZ"/>
              </w:rPr>
            </w:pPr>
            <w:r w:rsidRPr="005A3564">
              <w:t>1.5. Identify ambiguous, absent and incomplete documentat</w:t>
            </w:r>
            <w:r w:rsidRPr="005A3564">
              <w:t>ion and data in health care records that could affect code assignment.</w:t>
            </w:r>
          </w:p>
        </w:tc>
      </w:tr>
      <w:tr w:rsidTr="005A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4">
            <w:pPr>
              <w:pStyle w:val="List"/>
              <w:rPr>
                <w:lang w:val="en-NZ"/>
              </w:rPr>
            </w:pPr>
            <w:r w:rsidRPr="005A3564">
              <w:t>2.  Abstract clinical data from health care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4" w:rsidP="005A3564">
            <w:pPr>
              <w:pStyle w:val="List"/>
            </w:pPr>
            <w:r w:rsidRPr="005A3564">
              <w:t>2.1. Identify principal diagnosis according to current coding standards for an episode of care from information identified in patient health care record.</w:t>
            </w:r>
          </w:p>
          <w:p w:rsidR="00000000" w:rsidRPr="005A3564" w:rsidP="005A3564">
            <w:pPr>
              <w:pStyle w:val="List"/>
            </w:pPr>
            <w:r w:rsidRPr="005A3564">
              <w:t>2.2. Identify additional diagnoses from identified patient information according to current coding sta</w:t>
            </w:r>
            <w:r w:rsidRPr="005A3564">
              <w:t>ndards.</w:t>
            </w:r>
          </w:p>
          <w:p w:rsidR="00000000" w:rsidRPr="005A3564" w:rsidP="005A3564">
            <w:pPr>
              <w:pStyle w:val="List"/>
            </w:pPr>
            <w:r w:rsidRPr="005A3564">
              <w:t>2.3. Identify condition onset flags for diagnosis codes.</w:t>
            </w:r>
          </w:p>
          <w:p w:rsidR="00000000" w:rsidRPr="005A3564" w:rsidP="005A3564">
            <w:pPr>
              <w:pStyle w:val="List"/>
            </w:pPr>
            <w:r w:rsidRPr="005A3564">
              <w:t>2.4. Identify interventions from identified patient information according to current coding standards.</w:t>
            </w:r>
          </w:p>
          <w:p w:rsidR="00000000" w:rsidRPr="005A3564" w:rsidP="005A3564">
            <w:pPr>
              <w:pStyle w:val="List"/>
            </w:pPr>
            <w:r w:rsidRPr="005A3564">
              <w:t>2.5. Identify data required for coding and reporting.</w:t>
            </w:r>
          </w:p>
          <w:p w:rsidR="00000000" w:rsidRPr="005A3564" w:rsidP="005A3564">
            <w:pPr>
              <w:pStyle w:val="List"/>
            </w:pPr>
            <w:r w:rsidRPr="005A3564">
              <w:t>2.6. Use reference material to ass</w:t>
            </w:r>
            <w:r w:rsidRPr="005A3564">
              <w:t>ist in clarifying information.</w:t>
            </w:r>
          </w:p>
        </w:tc>
      </w:tr>
    </w:tbl>
    <w:p w:rsidR="00000000" w:rsidRPr="005A3564" w:rsidP="005A3564">
      <w:pPr>
        <w:pStyle w:val="BodyText"/>
      </w:pPr>
    </w:p>
    <w:p w:rsidR="00000000" w:rsidRPr="005A3564" w:rsidP="005A3564">
      <w:pPr>
        <w:pStyle w:val="AllowPageBreak"/>
      </w:pPr>
    </w:p>
    <w:p w:rsidR="00000000" w:rsidRPr="005A3564" w:rsidP="005A3564">
      <w:pPr>
        <w:pStyle w:val="Heading1"/>
      </w:pPr>
      <w:bookmarkStart w:id="7" w:name="O_1200072"/>
      <w:bookmarkEnd w:id="7"/>
      <w:r w:rsidRPr="005A3564">
        <w:t>Foundation Skills</w:t>
      </w:r>
    </w:p>
    <w:p w:rsidR="00000000" w:rsidRPr="005A3564" w:rsidP="001C0661">
      <w:pPr>
        <w:pStyle w:val="BodyText"/>
      </w:pPr>
      <w:r w:rsidRPr="005A3564">
        <w:t>Foundation skills essential to performance are explicit in the performance criteria of this unit of competency.</w:t>
      </w:r>
    </w:p>
    <w:p w:rsidR="00000000" w:rsidRPr="005A3564" w:rsidP="005A3564">
      <w:pPr>
        <w:pStyle w:val="Heading1"/>
      </w:pPr>
      <w:bookmarkStart w:id="8" w:name="O_1200071"/>
      <w:bookmarkEnd w:id="8"/>
      <w:r w:rsidRPr="005A3564">
        <w:t>Unit Mapping Information</w:t>
      </w:r>
    </w:p>
    <w:p w:rsidR="00000000" w:rsidRPr="005A3564" w:rsidP="001C0661">
      <w:pPr>
        <w:pStyle w:val="BodyText"/>
      </w:pPr>
      <w:r w:rsidRPr="005A3564">
        <w:t>No Equivalent Unit</w:t>
      </w:r>
    </w:p>
    <w:p w:rsidR="00000000" w:rsidRPr="005A3564" w:rsidP="005A3564">
      <w:pPr>
        <w:pStyle w:val="Heading1"/>
      </w:pPr>
      <w:bookmarkStart w:id="9" w:name="O_1200079"/>
      <w:bookmarkEnd w:id="9"/>
      <w:r w:rsidRPr="005A3564">
        <w:t>Links</w:t>
      </w:r>
    </w:p>
    <w:p w:rsidR="00000000" w:rsidRPr="005A3564" w:rsidP="001C0661">
      <w:pPr>
        <w:pStyle w:val="BodyText"/>
      </w:pPr>
      <w:r w:rsidRPr="005A35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12E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A3564" w:rsidP="005A3564"/>
    <w:sectPr w:rsidSect="005A35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4" w:rsidRPr="001C0661" w:rsidP="001C0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61" w:rsidP="005A3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661" w:rsidP="005A3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0661" w:rsidP="005A3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564" w:rsidRPr="001C0661" w:rsidP="001C0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61" w:rsidRPr="002D2AF8" w:rsidP="005A3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HLTCCD005 Abstract information for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C0661" w:rsidP="005A3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564"/>
  </w:style>
  <w:style w:type="character" w:customStyle="1" w:styleId="Heading1Char">
    <w:name w:val="Heading 1 Char"/>
    <w:basedOn w:val="DefaultParagraphFont"/>
    <w:link w:val="Heading1"/>
    <w:rsid w:val="005A3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5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56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A3564"/>
    <w:rPr>
      <w:b/>
      <w:spacing w:val="0"/>
    </w:rPr>
  </w:style>
  <w:style w:type="character" w:styleId="Emphasis">
    <w:name w:val="Emphasis"/>
    <w:basedOn w:val="DefaultParagraphFont"/>
    <w:qFormat/>
    <w:rsid w:val="005A3564"/>
    <w:rPr>
      <w:i/>
    </w:rPr>
  </w:style>
  <w:style w:type="paragraph" w:customStyle="1" w:styleId="SuperHeading">
    <w:name w:val="SuperHeading"/>
    <w:basedOn w:val="Normal"/>
    <w:rsid w:val="005A3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56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A35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3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5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5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564"/>
  </w:style>
  <w:style w:type="paragraph" w:styleId="TableofFigures">
    <w:name w:val="table of figures"/>
    <w:basedOn w:val="Normal"/>
    <w:next w:val="Normal"/>
    <w:semiHidden/>
    <w:rsid w:val="005A3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5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3564"/>
    <w:rPr>
      <w:rFonts w:ascii="Wingdings" w:hAnsi="Wingdings"/>
    </w:rPr>
  </w:style>
  <w:style w:type="paragraph" w:customStyle="1" w:styleId="TableHeading">
    <w:name w:val="Table Heading"/>
    <w:basedOn w:val="HeadingBase"/>
    <w:rsid w:val="005A3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564"/>
    <w:rPr>
      <w:color w:val="0033CC"/>
      <w:u w:val="none"/>
    </w:rPr>
  </w:style>
  <w:style w:type="paragraph" w:customStyle="1" w:styleId="BodyTextRight">
    <w:name w:val="Body Text Right"/>
    <w:basedOn w:val="BodyText"/>
    <w:rsid w:val="005A3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5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564"/>
    <w:rPr>
      <w:sz w:val="32"/>
    </w:rPr>
  </w:style>
  <w:style w:type="paragraph" w:customStyle="1" w:styleId="HeadingProcedure">
    <w:name w:val="Heading Procedure"/>
    <w:basedOn w:val="HeadingBase"/>
    <w:next w:val="Normal"/>
    <w:rsid w:val="005A3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564"/>
    <w:pPr>
      <w:spacing w:before="60" w:after="60"/>
    </w:pPr>
  </w:style>
  <w:style w:type="paragraph" w:styleId="ListContinue">
    <w:name w:val="List Continue"/>
    <w:basedOn w:val="List"/>
    <w:rsid w:val="005A3564"/>
    <w:pPr>
      <w:ind w:firstLine="0"/>
    </w:pPr>
  </w:style>
  <w:style w:type="paragraph" w:customStyle="1" w:styleId="ListNote">
    <w:name w:val="List Note"/>
    <w:basedOn w:val="List"/>
    <w:rsid w:val="005A3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564"/>
    <w:rPr>
      <w:rFonts w:ascii="Courier New" w:hAnsi="Courier New"/>
    </w:rPr>
  </w:style>
  <w:style w:type="paragraph" w:customStyle="1" w:styleId="NoteBullet">
    <w:name w:val="Note Bullet"/>
    <w:basedOn w:val="Note"/>
    <w:rsid w:val="005A3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5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3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564"/>
    <w:rPr>
      <w:b/>
      <w:smallCaps/>
    </w:rPr>
  </w:style>
  <w:style w:type="paragraph" w:customStyle="1" w:styleId="TableListNumber">
    <w:name w:val="Table List Number"/>
    <w:basedOn w:val="ListNumber"/>
    <w:rsid w:val="005A3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564"/>
    <w:pPr>
      <w:numPr>
        <w:numId w:val="7"/>
      </w:numPr>
    </w:pPr>
  </w:style>
  <w:style w:type="paragraph" w:customStyle="1" w:styleId="ListAlpha2">
    <w:name w:val="List Alpha 2"/>
    <w:basedOn w:val="List2"/>
    <w:rsid w:val="005A3564"/>
    <w:pPr>
      <w:numPr>
        <w:numId w:val="6"/>
      </w:numPr>
    </w:pPr>
  </w:style>
  <w:style w:type="paragraph" w:styleId="List2">
    <w:name w:val="List 2"/>
    <w:basedOn w:val="BodyText"/>
    <w:rsid w:val="005A3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5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5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3564"/>
    <w:pPr>
      <w:numPr>
        <w:numId w:val="2"/>
      </w:numPr>
    </w:pPr>
  </w:style>
  <w:style w:type="paragraph" w:styleId="ListContinue2">
    <w:name w:val="List Continue 2"/>
    <w:basedOn w:val="List2"/>
    <w:rsid w:val="005A3564"/>
    <w:pPr>
      <w:ind w:firstLine="0"/>
    </w:pPr>
  </w:style>
  <w:style w:type="paragraph" w:styleId="ListContinue3">
    <w:name w:val="List Continue 3"/>
    <w:basedOn w:val="List3"/>
    <w:rsid w:val="005A3564"/>
    <w:pPr>
      <w:ind w:left="1021" w:firstLine="0"/>
    </w:pPr>
  </w:style>
  <w:style w:type="paragraph" w:styleId="ListContinue4">
    <w:name w:val="List Continue 4"/>
    <w:basedOn w:val="List4"/>
    <w:rsid w:val="005A3564"/>
    <w:pPr>
      <w:ind w:firstLine="0"/>
    </w:pPr>
  </w:style>
  <w:style w:type="paragraph" w:styleId="ListContinue5">
    <w:name w:val="List Continue 5"/>
    <w:basedOn w:val="List5"/>
    <w:rsid w:val="005A3564"/>
    <w:pPr>
      <w:ind w:firstLine="0"/>
    </w:pPr>
  </w:style>
  <w:style w:type="paragraph" w:styleId="ListNumber3">
    <w:name w:val="List Number 3"/>
    <w:basedOn w:val="List3"/>
    <w:rsid w:val="005A3564"/>
    <w:pPr>
      <w:numPr>
        <w:numId w:val="3"/>
      </w:numPr>
    </w:pPr>
  </w:style>
  <w:style w:type="paragraph" w:styleId="ListNumber4">
    <w:name w:val="List Number 4"/>
    <w:basedOn w:val="List4"/>
    <w:rsid w:val="005A3564"/>
    <w:pPr>
      <w:numPr>
        <w:numId w:val="4"/>
      </w:numPr>
    </w:pPr>
  </w:style>
  <w:style w:type="paragraph" w:styleId="ListNumber5">
    <w:name w:val="List Number 5"/>
    <w:basedOn w:val="List5"/>
    <w:rsid w:val="005A3564"/>
    <w:pPr>
      <w:numPr>
        <w:numId w:val="5"/>
      </w:numPr>
    </w:pPr>
  </w:style>
  <w:style w:type="paragraph" w:styleId="BlockText">
    <w:name w:val="Block Text"/>
    <w:basedOn w:val="Normal"/>
    <w:rsid w:val="005A3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564"/>
    <w:rPr>
      <w:sz w:val="16"/>
      <w:vertAlign w:val="superscript"/>
    </w:rPr>
  </w:style>
  <w:style w:type="character" w:customStyle="1" w:styleId="Symbols">
    <w:name w:val="Symbols"/>
    <w:basedOn w:val="DefaultParagraphFont"/>
    <w:rsid w:val="005A3564"/>
    <w:rPr>
      <w:rFonts w:ascii="Symbol" w:hAnsi="Symbol"/>
    </w:rPr>
  </w:style>
  <w:style w:type="character" w:customStyle="1" w:styleId="MenuOptions">
    <w:name w:val="Menu Options"/>
    <w:basedOn w:val="DefaultParagraphFont"/>
    <w:rsid w:val="005A3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564"/>
    <w:rPr>
      <w:b/>
    </w:rPr>
  </w:style>
  <w:style w:type="character" w:customStyle="1" w:styleId="Underlined">
    <w:name w:val="Underlined"/>
    <w:basedOn w:val="DefaultParagraphFont"/>
    <w:rsid w:val="005A3564"/>
    <w:rPr>
      <w:u w:val="single"/>
    </w:rPr>
  </w:style>
  <w:style w:type="paragraph" w:customStyle="1" w:styleId="TableBodyTextRight">
    <w:name w:val="Table Body Text Right"/>
    <w:basedOn w:val="TableBodyText"/>
    <w:rsid w:val="005A3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564"/>
    <w:rPr>
      <w:sz w:val="18"/>
    </w:rPr>
  </w:style>
  <w:style w:type="paragraph" w:customStyle="1" w:styleId="BodySmallRight">
    <w:name w:val="Body Small Right"/>
    <w:basedOn w:val="BodyTextRight"/>
    <w:rsid w:val="005A3564"/>
    <w:rPr>
      <w:sz w:val="18"/>
      <w:szCs w:val="18"/>
    </w:rPr>
  </w:style>
  <w:style w:type="paragraph" w:customStyle="1" w:styleId="MarginEdition">
    <w:name w:val="Margin Edition"/>
    <w:basedOn w:val="MarginNote"/>
    <w:rsid w:val="005A3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564"/>
    <w:rPr>
      <w:sz w:val="2"/>
      <w:szCs w:val="2"/>
    </w:rPr>
  </w:style>
  <w:style w:type="character" w:customStyle="1" w:styleId="Small">
    <w:name w:val="Small"/>
    <w:basedOn w:val="DefaultParagraphFont"/>
    <w:rsid w:val="005A3564"/>
    <w:rPr>
      <w:sz w:val="16"/>
    </w:rPr>
  </w:style>
  <w:style w:type="paragraph" w:customStyle="1" w:styleId="WideTable">
    <w:name w:val="Wide Table"/>
    <w:basedOn w:val="Normal"/>
    <w:rsid w:val="005A3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564"/>
  </w:style>
  <w:style w:type="paragraph" w:styleId="Quote">
    <w:name w:val="Quote"/>
    <w:basedOn w:val="Heading1"/>
    <w:link w:val="QuoteChar"/>
    <w:qFormat/>
    <w:rsid w:val="005A3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564"/>
    <w:pPr>
      <w:pageBreakBefore/>
    </w:pPr>
  </w:style>
  <w:style w:type="paragraph" w:customStyle="1" w:styleId="Border">
    <w:name w:val="Border"/>
    <w:basedOn w:val="Normal"/>
    <w:qFormat/>
    <w:rsid w:val="005A3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564"/>
    <w:rPr>
      <w:u w:val="single"/>
    </w:rPr>
  </w:style>
  <w:style w:type="character" w:customStyle="1" w:styleId="BoldandItalics">
    <w:name w:val="Bold and Italics"/>
    <w:qFormat/>
    <w:rsid w:val="005A3564"/>
    <w:rPr>
      <w:b/>
      <w:i/>
      <w:u w:val="none"/>
    </w:rPr>
  </w:style>
  <w:style w:type="paragraph" w:styleId="BalloonText">
    <w:name w:val="Balloon Text"/>
    <w:basedOn w:val="Normal"/>
    <w:link w:val="BalloonTextChar"/>
    <w:rsid w:val="005A3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564"/>
    <w:pPr>
      <w:spacing w:before="0" w:after="0"/>
    </w:pPr>
  </w:style>
  <w:style w:type="paragraph" w:customStyle="1" w:styleId="BodyTextBold">
    <w:name w:val="Body Text Bold"/>
    <w:basedOn w:val="BodyText"/>
    <w:qFormat/>
    <w:rsid w:val="005A3564"/>
    <w:rPr>
      <w:b/>
    </w:rPr>
  </w:style>
  <w:style w:type="character" w:styleId="Hyperlink">
    <w:name w:val="Hyperlink"/>
    <w:basedOn w:val="DefaultParagraphFont"/>
    <w:uiPriority w:val="99"/>
    <w:unhideWhenUsed/>
    <w:rsid w:val="001C0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3089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HLTCCD005 Abstract information for clinical coding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