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E3382" w:rsidP="004E338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HLTCCD005 Abstract information for clinical coding</w:t>
      </w:r>
      <w:r>
        <w:fldChar w:fldCharType="end"/>
      </w:r>
    </w:p>
    <w:p w:rsidR="004E3382" w:rsidP="004E3382">
      <w:pPr>
        <w:pStyle w:val="Version"/>
        <w:sectPr w:rsidSect="0042185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421852" w:rsidP="00421852">
      <w:pPr>
        <w:pStyle w:val="SuperHeading"/>
      </w:pPr>
      <w:r w:rsidRPr="00421852">
        <w:t>Assessment Requirements for HLTCCD005 Abstract information for clinical coding</w:t>
      </w:r>
    </w:p>
    <w:p w:rsidR="00000000" w:rsidRPr="00421852" w:rsidP="00421852">
      <w:pPr>
        <w:pStyle w:val="Heading1"/>
      </w:pPr>
      <w:bookmarkStart w:id="1" w:name="O_1200069"/>
      <w:bookmarkEnd w:id="1"/>
      <w:r w:rsidRPr="00421852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40"/>
        <w:gridCol w:w="6074"/>
      </w:tblGrid>
      <w:tr w:rsidTr="0042185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421852" w:rsidP="00421852">
            <w:pPr>
              <w:pStyle w:val="BodyText"/>
            </w:pPr>
            <w:r w:rsidRPr="00421852">
              <w:rPr>
                <w:rStyle w:val="SpecialBold"/>
              </w:rPr>
              <w:t>Release</w:t>
            </w:r>
          </w:p>
        </w:tc>
        <w:tc>
          <w:tcPr>
            <w:tcW w:w="607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421852">
            <w:pPr>
              <w:pStyle w:val="BodyText"/>
              <w:rPr>
                <w:lang w:val="en-NZ"/>
              </w:rPr>
            </w:pPr>
            <w:r w:rsidRPr="00421852">
              <w:rPr>
                <w:rStyle w:val="SpecialBold"/>
              </w:rPr>
              <w:t>Comments</w:t>
            </w:r>
          </w:p>
        </w:tc>
      </w:tr>
      <w:tr w:rsidTr="0042185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1852">
            <w:pPr>
              <w:pStyle w:val="BodyText"/>
              <w:rPr>
                <w:lang w:val="en-NZ"/>
              </w:rPr>
            </w:pPr>
            <w:r w:rsidRPr="00421852">
              <w:t>Release 2</w:t>
            </w:r>
          </w:p>
        </w:tc>
        <w:tc>
          <w:tcPr>
            <w:tcW w:w="60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21852" w:rsidP="00421852">
            <w:pPr>
              <w:pStyle w:val="BodyText"/>
            </w:pPr>
            <w:r w:rsidRPr="00421852">
              <w:t>Release 2 HLTCCD005 Abstract information for clinical coding supersedes and is equivalent to Release 1 HLTCCD005 Abstract information for clinical coding.</w:t>
            </w:r>
          </w:p>
          <w:p w:rsidR="00000000" w:rsidRPr="00421852" w:rsidP="00421852">
            <w:pPr>
              <w:pStyle w:val="BodyText"/>
            </w:pPr>
            <w:r w:rsidRPr="00421852">
              <w:t>Updated:</w:t>
            </w:r>
          </w:p>
          <w:p w:rsidR="00000000" w:rsidP="00421852">
            <w:pPr>
              <w:pStyle w:val="BodyText"/>
              <w:rPr>
                <w:lang w:val="en-NZ"/>
              </w:rPr>
            </w:pPr>
            <w:r w:rsidRPr="00421852">
              <w:t>Mapping details and minor corrections.</w:t>
            </w:r>
          </w:p>
        </w:tc>
      </w:tr>
      <w:tr w:rsidTr="0042185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1852">
            <w:pPr>
              <w:pStyle w:val="BodyText"/>
              <w:rPr>
                <w:lang w:val="en-NZ"/>
              </w:rPr>
            </w:pPr>
            <w:r w:rsidRPr="00421852">
              <w:t>Release 1</w:t>
            </w:r>
          </w:p>
        </w:tc>
        <w:tc>
          <w:tcPr>
            <w:tcW w:w="60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21852" w:rsidP="00421852">
            <w:pPr>
              <w:pStyle w:val="BodyText"/>
            </w:pPr>
            <w:r w:rsidRPr="00421852">
              <w:t>HLTCCD005 Abstract information for clinica</w:t>
            </w:r>
            <w:r w:rsidRPr="00421852">
              <w:t>l coding no equivalent unit.</w:t>
            </w:r>
          </w:p>
        </w:tc>
      </w:tr>
    </w:tbl>
    <w:p w:rsidR="00000000" w:rsidRPr="00421852" w:rsidP="00421852">
      <w:pPr>
        <w:pStyle w:val="BodyText"/>
      </w:pPr>
    </w:p>
    <w:p w:rsidR="00000000" w:rsidRPr="00421852" w:rsidP="00421852">
      <w:pPr>
        <w:pStyle w:val="AllowPageBreak"/>
      </w:pPr>
    </w:p>
    <w:p w:rsidR="00000000" w:rsidRPr="00421852" w:rsidP="00421852">
      <w:pPr>
        <w:pStyle w:val="Heading1"/>
      </w:pPr>
      <w:bookmarkStart w:id="2" w:name="O_1200068"/>
      <w:bookmarkEnd w:id="2"/>
      <w:r w:rsidRPr="00421852">
        <w:t>Performance Evidence</w:t>
      </w:r>
    </w:p>
    <w:p w:rsidR="00000000" w:rsidRPr="00421852" w:rsidP="004E3382">
      <w:pPr>
        <w:pStyle w:val="BodyText"/>
      </w:pPr>
      <w:r w:rsidRPr="00421852">
        <w:t>Evidence of the ability to complete tasks outlined in elements and performance criteria of this unit in the context of the job role, and:</w:t>
      </w:r>
    </w:p>
    <w:p w:rsidR="00000000" w:rsidRPr="00421852" w:rsidP="00421852">
      <w:pPr>
        <w:pStyle w:val="ListBullet"/>
      </w:pPr>
      <w:r w:rsidRPr="00421852">
        <w:t>access and interpret clinical information from patient health care records for at least five episodes of care for each of the following:</w:t>
      </w:r>
    </w:p>
    <w:p w:rsidR="00000000" w:rsidRPr="00421852" w:rsidP="00421852">
      <w:pPr>
        <w:pStyle w:val="ListBullet2"/>
      </w:pPr>
      <w:r w:rsidRPr="00421852">
        <w:t>infectious and parasitic diseases</w:t>
      </w:r>
    </w:p>
    <w:p w:rsidR="00000000" w:rsidRPr="00421852" w:rsidP="00421852">
      <w:pPr>
        <w:pStyle w:val="ListBullet2"/>
      </w:pPr>
      <w:r w:rsidRPr="00421852">
        <w:t>neoplasms</w:t>
      </w:r>
    </w:p>
    <w:p w:rsidR="00000000" w:rsidRPr="00421852" w:rsidP="00421852">
      <w:pPr>
        <w:pStyle w:val="ListBullet2"/>
      </w:pPr>
      <w:r w:rsidRPr="00421852">
        <w:t>diseases of the blood and blood-forming organs and common disorders involv</w:t>
      </w:r>
      <w:r w:rsidRPr="00421852">
        <w:t>ing the immune mechanism</w:t>
      </w:r>
    </w:p>
    <w:p w:rsidR="00000000" w:rsidRPr="00421852" w:rsidP="00421852">
      <w:pPr>
        <w:pStyle w:val="ListBullet2"/>
      </w:pPr>
      <w:r w:rsidRPr="00421852">
        <w:t>endocrine, nutritional and metabolic diseases</w:t>
      </w:r>
    </w:p>
    <w:p w:rsidR="00000000" w:rsidRPr="00421852" w:rsidP="00421852">
      <w:pPr>
        <w:pStyle w:val="ListBullet2"/>
      </w:pPr>
      <w:r w:rsidRPr="00421852">
        <w:t>mental and behavioural disorders</w:t>
      </w:r>
    </w:p>
    <w:p w:rsidR="00000000" w:rsidRPr="00421852" w:rsidP="00421852">
      <w:pPr>
        <w:pStyle w:val="ListBullet2"/>
      </w:pPr>
      <w:r w:rsidRPr="00421852">
        <w:t>diseases of the nervous system</w:t>
      </w:r>
    </w:p>
    <w:p w:rsidR="00000000" w:rsidRPr="00421852" w:rsidP="00421852">
      <w:pPr>
        <w:pStyle w:val="ListBullet2"/>
      </w:pPr>
      <w:r w:rsidRPr="00421852">
        <w:t>diseases of the eye and adnexa</w:t>
      </w:r>
    </w:p>
    <w:p w:rsidR="00000000" w:rsidRPr="00421852" w:rsidP="00421852">
      <w:pPr>
        <w:pStyle w:val="ListBullet2"/>
      </w:pPr>
      <w:r w:rsidRPr="00421852">
        <w:t>diseases of the ear and mastoid process</w:t>
      </w:r>
    </w:p>
    <w:p w:rsidR="00000000" w:rsidRPr="00421852" w:rsidP="00421852">
      <w:pPr>
        <w:pStyle w:val="ListBullet2"/>
      </w:pPr>
      <w:r w:rsidRPr="00421852">
        <w:t>diseases of the circulatory system</w:t>
      </w:r>
    </w:p>
    <w:p w:rsidR="00000000" w:rsidRPr="00421852" w:rsidP="00421852">
      <w:pPr>
        <w:pStyle w:val="ListBullet2"/>
      </w:pPr>
      <w:r w:rsidRPr="00421852">
        <w:t>diseases of the</w:t>
      </w:r>
      <w:r w:rsidRPr="00421852">
        <w:t xml:space="preserve"> respiratory system</w:t>
      </w:r>
    </w:p>
    <w:p w:rsidR="00000000" w:rsidRPr="00421852" w:rsidP="00421852">
      <w:pPr>
        <w:pStyle w:val="ListBullet2"/>
      </w:pPr>
      <w:r w:rsidRPr="00421852">
        <w:t>diseases of the digestive system</w:t>
      </w:r>
    </w:p>
    <w:p w:rsidR="00000000" w:rsidRPr="00421852" w:rsidP="00421852">
      <w:pPr>
        <w:pStyle w:val="ListBullet2"/>
      </w:pPr>
      <w:r w:rsidRPr="00421852">
        <w:t>diseases of the skin and subcutaneous tissue</w:t>
      </w:r>
    </w:p>
    <w:p w:rsidR="00000000" w:rsidRPr="00421852" w:rsidP="00421852">
      <w:pPr>
        <w:pStyle w:val="ListBullet2"/>
      </w:pPr>
      <w:r w:rsidRPr="00421852">
        <w:t>diseases of the musculoskeletal system and connective tissue</w:t>
      </w:r>
    </w:p>
    <w:p w:rsidR="00000000" w:rsidRPr="00421852" w:rsidP="00421852">
      <w:pPr>
        <w:pStyle w:val="ListBullet2"/>
      </w:pPr>
      <w:r w:rsidRPr="00421852">
        <w:t>diseases of the genitourinary system</w:t>
      </w:r>
    </w:p>
    <w:p w:rsidR="00000000" w:rsidRPr="00421852" w:rsidP="00421852">
      <w:pPr>
        <w:pStyle w:val="ListBullet2"/>
      </w:pPr>
      <w:r w:rsidRPr="00421852">
        <w:t>pregnancy, childbirth and the puerperium conditions originating in the perinatal period including congenital malformations, deformations and chromosomal abnormalities</w:t>
      </w:r>
    </w:p>
    <w:p w:rsidR="00000000" w:rsidRPr="00421852" w:rsidP="00421852">
      <w:pPr>
        <w:pStyle w:val="ListBullet2"/>
      </w:pPr>
      <w:r w:rsidRPr="00421852">
        <w:t>symptoms, signs and abnormal clinical and laboratory findings not elsewhere classified</w:t>
      </w:r>
    </w:p>
    <w:p w:rsidR="00000000" w:rsidRPr="00421852" w:rsidP="00421852">
      <w:pPr>
        <w:pStyle w:val="ListBullet2"/>
      </w:pPr>
      <w:r w:rsidRPr="00421852">
        <w:t>in</w:t>
      </w:r>
      <w:r w:rsidRPr="00421852">
        <w:t xml:space="preserve">jury, poisoning and causes of morbidity and mortality. </w:t>
      </w:r>
    </w:p>
    <w:p w:rsidR="00000000" w:rsidRPr="00421852" w:rsidP="00421852">
      <w:pPr>
        <w:pStyle w:val="AllowPageBreak"/>
      </w:pPr>
    </w:p>
    <w:p w:rsidR="00000000" w:rsidRPr="00421852" w:rsidP="00421852">
      <w:pPr>
        <w:pStyle w:val="Heading1"/>
      </w:pPr>
      <w:bookmarkStart w:id="3" w:name="O_1200067"/>
      <w:bookmarkEnd w:id="3"/>
      <w:r w:rsidRPr="00421852">
        <w:t>Knowledge Evidence</w:t>
      </w:r>
    </w:p>
    <w:p w:rsidR="00000000" w:rsidRPr="00421852" w:rsidP="004E3382">
      <w:pPr>
        <w:pStyle w:val="BodyText"/>
      </w:pPr>
      <w:r w:rsidRPr="00421852">
        <w:t>Demonstrated knowledge required to complete the tasks outlined in elements and performance criteria of this unit:</w:t>
      </w:r>
    </w:p>
    <w:p w:rsidR="00000000" w:rsidRPr="00421852" w:rsidP="00421852">
      <w:pPr>
        <w:pStyle w:val="ListBullet"/>
      </w:pPr>
      <w:r w:rsidRPr="00421852">
        <w:t>types of clinical information:</w:t>
      </w:r>
    </w:p>
    <w:p w:rsidR="00000000" w:rsidRPr="00421852" w:rsidP="00421852">
      <w:pPr>
        <w:pStyle w:val="ListBullet2"/>
      </w:pPr>
      <w:r w:rsidRPr="00421852">
        <w:t>correspondence</w:t>
      </w:r>
    </w:p>
    <w:p w:rsidR="00000000" w:rsidRPr="00421852" w:rsidP="00421852">
      <w:pPr>
        <w:pStyle w:val="ListBullet2"/>
      </w:pPr>
      <w:r w:rsidRPr="00421852">
        <w:t>clinical notes</w:t>
      </w:r>
    </w:p>
    <w:p w:rsidR="00000000" w:rsidRPr="00421852" w:rsidP="00421852">
      <w:pPr>
        <w:pStyle w:val="ListBullet2"/>
      </w:pPr>
      <w:r w:rsidRPr="00421852">
        <w:t>orders and prescriptions</w:t>
      </w:r>
    </w:p>
    <w:p w:rsidR="00000000" w:rsidRPr="00421852" w:rsidP="00421852">
      <w:pPr>
        <w:pStyle w:val="ListBullet2"/>
      </w:pPr>
      <w:r w:rsidRPr="00421852">
        <w:t>operation, treatment and procedure reports</w:t>
      </w:r>
    </w:p>
    <w:p w:rsidR="00000000" w:rsidRPr="00421852" w:rsidP="00421852">
      <w:pPr>
        <w:pStyle w:val="ListBullet2"/>
      </w:pPr>
      <w:r w:rsidRPr="00421852">
        <w:t>pathology investigation results</w:t>
      </w:r>
    </w:p>
    <w:p w:rsidR="00000000" w:rsidRPr="00421852" w:rsidP="00421852">
      <w:pPr>
        <w:pStyle w:val="ListBullet2"/>
      </w:pPr>
      <w:r w:rsidRPr="00421852">
        <w:t>diagnostic imaging results</w:t>
      </w:r>
    </w:p>
    <w:p w:rsidR="00000000" w:rsidRPr="00421852" w:rsidP="00421852">
      <w:pPr>
        <w:pStyle w:val="ListBullet2"/>
      </w:pPr>
      <w:r w:rsidRPr="00421852">
        <w:t>discharge summaries</w:t>
      </w:r>
    </w:p>
    <w:p w:rsidR="00000000" w:rsidRPr="00421852" w:rsidP="00421852">
      <w:pPr>
        <w:pStyle w:val="ListBullet"/>
      </w:pPr>
      <w:r w:rsidRPr="00421852">
        <w:t>abstracting and clinical coding methods to identify:</w:t>
      </w:r>
    </w:p>
    <w:p w:rsidR="00000000" w:rsidRPr="00421852" w:rsidP="00421852">
      <w:pPr>
        <w:pStyle w:val="ListBullet2"/>
      </w:pPr>
      <w:r w:rsidRPr="00421852">
        <w:t>principal diagnoses, additional diagnoses and interventions</w:t>
      </w:r>
    </w:p>
    <w:p w:rsidR="00000000" w:rsidRPr="00421852" w:rsidP="00421852">
      <w:pPr>
        <w:pStyle w:val="ListBullet2"/>
      </w:pPr>
      <w:r w:rsidRPr="00421852">
        <w:t>sequencing of diagnoses and interventions</w:t>
      </w:r>
    </w:p>
    <w:p w:rsidR="00000000" w:rsidRPr="00421852" w:rsidP="00421852">
      <w:pPr>
        <w:pStyle w:val="ListBullet2"/>
      </w:pPr>
      <w:r w:rsidRPr="00421852">
        <w:t>ambiguous, absent and incomplete documentation and data</w:t>
      </w:r>
    </w:p>
    <w:p w:rsidR="00000000" w:rsidRPr="00421852" w:rsidP="00421852">
      <w:pPr>
        <w:pStyle w:val="ListBullet2"/>
      </w:pPr>
      <w:r w:rsidRPr="00421852">
        <w:t>issues requiring clarification</w:t>
      </w:r>
    </w:p>
    <w:p w:rsidR="00000000" w:rsidRPr="00421852" w:rsidP="00421852">
      <w:pPr>
        <w:pStyle w:val="ListBullet"/>
      </w:pPr>
      <w:r w:rsidRPr="00421852">
        <w:t xml:space="preserve">organisational policies and procedures: </w:t>
      </w:r>
    </w:p>
    <w:p w:rsidR="00000000" w:rsidRPr="00421852" w:rsidP="00421852">
      <w:pPr>
        <w:pStyle w:val="ListBullet2"/>
      </w:pPr>
      <w:r w:rsidRPr="00421852">
        <w:t>health care records stor</w:t>
      </w:r>
      <w:r w:rsidRPr="00421852">
        <w:t>age and access</w:t>
      </w:r>
    </w:p>
    <w:p w:rsidR="00000000" w:rsidRPr="00421852" w:rsidP="00421852">
      <w:pPr>
        <w:pStyle w:val="ListBullet3"/>
      </w:pPr>
      <w:r w:rsidRPr="00421852">
        <w:t>hard copy</w:t>
      </w:r>
    </w:p>
    <w:p w:rsidR="00000000" w:rsidRPr="00421852" w:rsidP="00421852">
      <w:pPr>
        <w:pStyle w:val="ListBullet3"/>
      </w:pPr>
      <w:r w:rsidRPr="00421852">
        <w:t>electronic copy</w:t>
      </w:r>
    </w:p>
    <w:p w:rsidR="00000000" w:rsidRPr="00421852" w:rsidP="00421852">
      <w:pPr>
        <w:pStyle w:val="ListBullet2"/>
      </w:pPr>
      <w:r w:rsidRPr="00421852">
        <w:t>coding clarification:</w:t>
      </w:r>
    </w:p>
    <w:p w:rsidR="00000000" w:rsidRPr="00421852" w:rsidP="00421852">
      <w:pPr>
        <w:pStyle w:val="ListBullet3"/>
      </w:pPr>
      <w:r w:rsidRPr="00421852">
        <w:t>oral communication</w:t>
      </w:r>
    </w:p>
    <w:p w:rsidR="00000000" w:rsidRPr="00421852" w:rsidP="00421852">
      <w:pPr>
        <w:pStyle w:val="ListBullet3"/>
      </w:pPr>
      <w:r w:rsidRPr="00421852">
        <w:t xml:space="preserve">written communication </w:t>
      </w:r>
    </w:p>
    <w:p w:rsidR="00000000" w:rsidRPr="00421852" w:rsidP="00421852">
      <w:pPr>
        <w:pStyle w:val="ListBullet3"/>
      </w:pPr>
      <w:r w:rsidRPr="00421852">
        <w:t>selection of communication method</w:t>
      </w:r>
    </w:p>
    <w:p w:rsidR="00000000" w:rsidRPr="00421852" w:rsidP="00421852">
      <w:pPr>
        <w:pStyle w:val="ListBullet2"/>
      </w:pPr>
      <w:r w:rsidRPr="00421852">
        <w:t xml:space="preserve">referral of unresolved issues: </w:t>
      </w:r>
    </w:p>
    <w:p w:rsidR="00000000" w:rsidRPr="00421852" w:rsidP="00421852">
      <w:pPr>
        <w:pStyle w:val="ListBullet3"/>
      </w:pPr>
      <w:r w:rsidRPr="00421852">
        <w:t>oral communication</w:t>
      </w:r>
    </w:p>
    <w:p w:rsidR="00000000" w:rsidRPr="00421852" w:rsidP="00421852">
      <w:pPr>
        <w:pStyle w:val="ListBullet3"/>
      </w:pPr>
      <w:r w:rsidRPr="00421852">
        <w:t>written communication</w:t>
      </w:r>
    </w:p>
    <w:p w:rsidR="00000000" w:rsidRPr="00421852" w:rsidP="00421852">
      <w:pPr>
        <w:pStyle w:val="ListBullet3"/>
      </w:pPr>
      <w:r w:rsidRPr="00421852">
        <w:t>selection of communication method</w:t>
      </w:r>
    </w:p>
    <w:p w:rsidR="00000000" w:rsidRPr="00421852" w:rsidP="00421852">
      <w:pPr>
        <w:pStyle w:val="ListBullet3"/>
      </w:pPr>
      <w:r w:rsidRPr="00421852">
        <w:t xml:space="preserve">protocols for referrals. </w:t>
      </w:r>
    </w:p>
    <w:p w:rsidR="00000000" w:rsidRPr="00421852" w:rsidP="00421852">
      <w:pPr>
        <w:pStyle w:val="AllowPageBreak"/>
      </w:pPr>
    </w:p>
    <w:p w:rsidR="00000000" w:rsidRPr="00421852" w:rsidP="00421852">
      <w:pPr>
        <w:pStyle w:val="Heading1"/>
      </w:pPr>
      <w:bookmarkStart w:id="4" w:name="O_1200066"/>
      <w:bookmarkEnd w:id="4"/>
      <w:r w:rsidRPr="00421852">
        <w:t>Assessment Conditions</w:t>
      </w:r>
    </w:p>
    <w:p w:rsidR="00000000" w:rsidRPr="00421852" w:rsidP="004E3382">
      <w:pPr>
        <w:pStyle w:val="BodyText"/>
      </w:pPr>
      <w:r w:rsidRPr="00421852">
        <w:t>Skills must be demonstrated in the workplace or in a simulated environment that reflects workplace conditions.</w:t>
      </w:r>
    </w:p>
    <w:p w:rsidR="00000000" w:rsidRPr="00421852" w:rsidP="004E3382">
      <w:pPr>
        <w:pStyle w:val="BodyText"/>
      </w:pPr>
      <w:r w:rsidRPr="00421852">
        <w:t>Assessment must ensure access to:</w:t>
      </w:r>
    </w:p>
    <w:p w:rsidR="00000000" w:rsidRPr="00421852" w:rsidP="00421852">
      <w:pPr>
        <w:pStyle w:val="ListBullet"/>
      </w:pPr>
      <w:r w:rsidRPr="00421852">
        <w:t>moderately complex real-life patient health care records or de-identified real patient health care records either electronic or hard copy, that reflect current clinical practice</w:t>
      </w:r>
    </w:p>
    <w:p w:rsidR="00000000" w:rsidRPr="00421852" w:rsidP="00421852">
      <w:pPr>
        <w:pStyle w:val="ListBullet"/>
      </w:pPr>
      <w:r w:rsidRPr="00421852">
        <w:t>patient health care records encompassing episodes of care including the follow</w:t>
      </w:r>
      <w:r w:rsidRPr="00421852">
        <w:t>ing:</w:t>
      </w:r>
    </w:p>
    <w:p w:rsidR="00000000" w:rsidRPr="00421852" w:rsidP="00421852">
      <w:pPr>
        <w:pStyle w:val="ListBullet3"/>
      </w:pPr>
      <w:r w:rsidRPr="00421852">
        <w:t>differing lengths of stay</w:t>
      </w:r>
    </w:p>
    <w:p w:rsidR="00000000" w:rsidRPr="00421852" w:rsidP="00421852">
      <w:pPr>
        <w:pStyle w:val="ListBullet3"/>
      </w:pPr>
      <w:r w:rsidRPr="00421852">
        <w:t>both acute and chronic forms of a disease or condition</w:t>
      </w:r>
    </w:p>
    <w:p w:rsidR="00000000" w:rsidRPr="00421852" w:rsidP="00421852">
      <w:pPr>
        <w:pStyle w:val="ListBullet3"/>
      </w:pPr>
      <w:r w:rsidRPr="00421852">
        <w:t>different care types</w:t>
      </w:r>
    </w:p>
    <w:p w:rsidR="00000000" w:rsidRPr="00421852" w:rsidP="00421852">
      <w:pPr>
        <w:pStyle w:val="ListBullet3"/>
      </w:pPr>
      <w:r w:rsidRPr="00421852">
        <w:t>with disease or condition in different contexts including co-existing with multiple comorbidities and complications</w:t>
      </w:r>
    </w:p>
    <w:p w:rsidR="00000000" w:rsidRPr="00421852" w:rsidP="00421852">
      <w:pPr>
        <w:pStyle w:val="ListBullet"/>
      </w:pPr>
      <w:r w:rsidRPr="00421852">
        <w:t>current Australian coding class</w:t>
      </w:r>
      <w:r w:rsidRPr="00421852">
        <w:t>ification</w:t>
      </w:r>
    </w:p>
    <w:p w:rsidR="00000000" w:rsidRPr="00421852" w:rsidP="00421852">
      <w:pPr>
        <w:pStyle w:val="ListBullet"/>
      </w:pPr>
      <w:r w:rsidRPr="00421852">
        <w:t>medical dictionary or other equivalent medical resource</w:t>
      </w:r>
    </w:p>
    <w:p w:rsidR="00000000" w:rsidRPr="00421852" w:rsidP="00421852">
      <w:pPr>
        <w:pStyle w:val="ListBullet"/>
      </w:pPr>
      <w:r w:rsidRPr="00421852">
        <w:t>organisational policies and procedures</w:t>
      </w:r>
    </w:p>
    <w:p w:rsidR="00000000" w:rsidRPr="00421852" w:rsidP="00421852">
      <w:pPr>
        <w:pStyle w:val="ListBullet"/>
      </w:pPr>
      <w:r w:rsidRPr="00421852">
        <w:t>National and State or Territory legislation relevant to clinical coding</w:t>
      </w:r>
    </w:p>
    <w:p w:rsidR="00000000" w:rsidRPr="00421852" w:rsidP="004E3382">
      <w:pPr>
        <w:pStyle w:val="BodyText"/>
      </w:pPr>
      <w:r w:rsidRPr="00421852">
        <w:t>Assessors must satisfy the Standards for Registered Training Organisations’ req</w:t>
      </w:r>
      <w:r w:rsidRPr="00421852">
        <w:t>uirements for assessors.</w:t>
      </w:r>
    </w:p>
    <w:p w:rsidR="00000000" w:rsidRPr="00421852" w:rsidP="00421852">
      <w:pPr>
        <w:pStyle w:val="Heading1"/>
      </w:pPr>
      <w:bookmarkStart w:id="5" w:name="O_1200080"/>
      <w:bookmarkEnd w:id="5"/>
      <w:r w:rsidRPr="00421852">
        <w:t>Links</w:t>
      </w:r>
    </w:p>
    <w:p w:rsidR="00000000" w:rsidRPr="00421852" w:rsidP="004E3382">
      <w:pPr>
        <w:pStyle w:val="BodyText"/>
      </w:pPr>
      <w:r w:rsidRPr="00421852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"https://vetnet.gov.au/Pages/TrainingDocs.aspx?q=ced1390f-48d9-4ab0-bd50-b015e5485705" </w:instrText>
      </w:r>
      <w:r>
        <w:fldChar w:fldCharType="separate"/>
      </w:r>
      <w:r w:rsidRPr="008937D9">
        <w:rPr>
          <w:rStyle w:val="Hyperlink"/>
        </w:rPr>
        <w:t>https://vetnet.gov.au/Pages/TrainingDocs.aspx?q=ced1390f-48d9-4ab0-bd50-b015e5485705</w:t>
      </w:r>
      <w:r>
        <w:fldChar w:fldCharType="end"/>
      </w:r>
    </w:p>
    <w:p w:rsidR="00000000" w:rsidRPr="00421852" w:rsidP="00421852"/>
    <w:sectPr w:rsidSect="00421852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2185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21852" w:rsidRPr="004E3382" w:rsidP="004E338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2185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E3382" w:rsidP="0042185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4E3382" w:rsidP="0042185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4E3382" w:rsidP="0042185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2185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E338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21852" w:rsidRPr="004E3382" w:rsidP="004E338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2185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E3382" w:rsidRPr="002D2AF8" w:rsidP="0042185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HLTCCD005 Abstract information for clinical coding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July 2023</w:t>
    </w:r>
    <w:r>
      <w:fldChar w:fldCharType="end"/>
    </w:r>
  </w:p>
  <w:p w:rsidR="004E3382" w:rsidP="0042185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7938EF7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0BAE52C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18D858D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2185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2185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2185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2185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2185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2185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2185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2185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2185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2185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2185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21852"/>
  </w:style>
  <w:style w:type="character" w:customStyle="1" w:styleId="Heading1Char">
    <w:name w:val="Heading 1 Char"/>
    <w:basedOn w:val="DefaultParagraphFont"/>
    <w:link w:val="Heading1"/>
    <w:rsid w:val="0042185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2185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21852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421852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421852"/>
    <w:rPr>
      <w:b/>
      <w:spacing w:val="0"/>
    </w:rPr>
  </w:style>
  <w:style w:type="paragraph" w:styleId="ListBullet2">
    <w:name w:val="List Bullet 2"/>
    <w:basedOn w:val="List2"/>
    <w:rsid w:val="00421852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42185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2185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421852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42185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2185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2185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2185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2185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2185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2185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2185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2185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2185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2185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2185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2185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2185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2185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2185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2185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21852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421852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42185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42185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2185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2185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42185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2185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2185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2185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2185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2185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2185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2185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21852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421852"/>
    <w:rPr>
      <w:i/>
    </w:rPr>
  </w:style>
  <w:style w:type="paragraph" w:styleId="Caption">
    <w:name w:val="caption"/>
    <w:basedOn w:val="BodyText"/>
    <w:next w:val="Normal"/>
    <w:qFormat/>
    <w:rsid w:val="0042185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2185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2185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21852"/>
  </w:style>
  <w:style w:type="paragraph" w:styleId="TableofFigures">
    <w:name w:val="table of figures"/>
    <w:basedOn w:val="Normal"/>
    <w:next w:val="Normal"/>
    <w:semiHidden/>
    <w:rsid w:val="0042185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21852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421852"/>
    <w:rPr>
      <w:rFonts w:ascii="Wingdings" w:hAnsi="Wingdings"/>
    </w:rPr>
  </w:style>
  <w:style w:type="paragraph" w:customStyle="1" w:styleId="TableHeading">
    <w:name w:val="Table Heading"/>
    <w:basedOn w:val="HeadingBase"/>
    <w:rsid w:val="0042185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21852"/>
    <w:rPr>
      <w:color w:val="0033CC"/>
      <w:u w:val="none"/>
    </w:rPr>
  </w:style>
  <w:style w:type="paragraph" w:customStyle="1" w:styleId="BodyTextRight">
    <w:name w:val="Body Text Right"/>
    <w:basedOn w:val="BodyText"/>
    <w:rsid w:val="0042185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2185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21852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2185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2185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2185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21852"/>
    <w:rPr>
      <w:sz w:val="32"/>
    </w:rPr>
  </w:style>
  <w:style w:type="paragraph" w:customStyle="1" w:styleId="HeadingProcedure">
    <w:name w:val="Heading Procedure"/>
    <w:basedOn w:val="HeadingBase"/>
    <w:next w:val="Normal"/>
    <w:rsid w:val="0042185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21852"/>
    <w:pPr>
      <w:spacing w:before="60" w:after="60"/>
    </w:pPr>
  </w:style>
  <w:style w:type="paragraph" w:styleId="ListContinue">
    <w:name w:val="List Continue"/>
    <w:basedOn w:val="List"/>
    <w:rsid w:val="00421852"/>
    <w:pPr>
      <w:ind w:firstLine="0"/>
    </w:pPr>
  </w:style>
  <w:style w:type="paragraph" w:customStyle="1" w:styleId="ListNote">
    <w:name w:val="List Note"/>
    <w:basedOn w:val="List"/>
    <w:rsid w:val="0042185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2185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2185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21852"/>
    <w:rPr>
      <w:rFonts w:ascii="Courier New" w:hAnsi="Courier New"/>
    </w:rPr>
  </w:style>
  <w:style w:type="paragraph" w:customStyle="1" w:styleId="NoteBullet">
    <w:name w:val="Note Bullet"/>
    <w:basedOn w:val="Note"/>
    <w:rsid w:val="0042185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2185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2185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2185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21852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42185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2185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21852"/>
    <w:rPr>
      <w:b/>
      <w:smallCaps/>
    </w:rPr>
  </w:style>
  <w:style w:type="paragraph" w:customStyle="1" w:styleId="TableListNumber">
    <w:name w:val="Table List Number"/>
    <w:basedOn w:val="ListNumber"/>
    <w:rsid w:val="0042185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2185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21852"/>
    <w:pPr>
      <w:numPr>
        <w:numId w:val="10"/>
      </w:numPr>
    </w:pPr>
  </w:style>
  <w:style w:type="paragraph" w:customStyle="1" w:styleId="ListAlpha2">
    <w:name w:val="List Alpha 2"/>
    <w:basedOn w:val="List2"/>
    <w:rsid w:val="00421852"/>
    <w:pPr>
      <w:numPr>
        <w:numId w:val="9"/>
      </w:numPr>
    </w:pPr>
  </w:style>
  <w:style w:type="paragraph" w:styleId="List2">
    <w:name w:val="List 2"/>
    <w:basedOn w:val="BodyText"/>
    <w:rsid w:val="0042185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2185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2185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21852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421852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421852"/>
    <w:pPr>
      <w:numPr>
        <w:numId w:val="5"/>
      </w:numPr>
    </w:pPr>
  </w:style>
  <w:style w:type="paragraph" w:styleId="ListContinue2">
    <w:name w:val="List Continue 2"/>
    <w:basedOn w:val="List2"/>
    <w:rsid w:val="00421852"/>
    <w:pPr>
      <w:ind w:firstLine="0"/>
    </w:pPr>
  </w:style>
  <w:style w:type="paragraph" w:styleId="ListContinue3">
    <w:name w:val="List Continue 3"/>
    <w:basedOn w:val="List3"/>
    <w:rsid w:val="00421852"/>
    <w:pPr>
      <w:ind w:left="1021" w:firstLine="0"/>
    </w:pPr>
  </w:style>
  <w:style w:type="paragraph" w:styleId="ListContinue4">
    <w:name w:val="List Continue 4"/>
    <w:basedOn w:val="List4"/>
    <w:rsid w:val="00421852"/>
    <w:pPr>
      <w:ind w:firstLine="0"/>
    </w:pPr>
  </w:style>
  <w:style w:type="paragraph" w:styleId="ListContinue5">
    <w:name w:val="List Continue 5"/>
    <w:basedOn w:val="List5"/>
    <w:rsid w:val="00421852"/>
    <w:pPr>
      <w:ind w:firstLine="0"/>
    </w:pPr>
  </w:style>
  <w:style w:type="paragraph" w:styleId="ListNumber3">
    <w:name w:val="List Number 3"/>
    <w:basedOn w:val="List3"/>
    <w:rsid w:val="00421852"/>
    <w:pPr>
      <w:numPr>
        <w:numId w:val="6"/>
      </w:numPr>
    </w:pPr>
  </w:style>
  <w:style w:type="paragraph" w:styleId="ListNumber4">
    <w:name w:val="List Number 4"/>
    <w:basedOn w:val="List4"/>
    <w:rsid w:val="00421852"/>
    <w:pPr>
      <w:numPr>
        <w:numId w:val="7"/>
      </w:numPr>
    </w:pPr>
  </w:style>
  <w:style w:type="paragraph" w:styleId="ListNumber5">
    <w:name w:val="List Number 5"/>
    <w:basedOn w:val="List5"/>
    <w:rsid w:val="00421852"/>
    <w:pPr>
      <w:numPr>
        <w:numId w:val="8"/>
      </w:numPr>
    </w:pPr>
  </w:style>
  <w:style w:type="paragraph" w:styleId="BlockText">
    <w:name w:val="Block Text"/>
    <w:basedOn w:val="Normal"/>
    <w:rsid w:val="0042185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2185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21852"/>
    <w:rPr>
      <w:sz w:val="16"/>
      <w:vertAlign w:val="superscript"/>
    </w:rPr>
  </w:style>
  <w:style w:type="character" w:customStyle="1" w:styleId="Symbols">
    <w:name w:val="Symbols"/>
    <w:basedOn w:val="DefaultParagraphFont"/>
    <w:rsid w:val="00421852"/>
    <w:rPr>
      <w:rFonts w:ascii="Symbol" w:hAnsi="Symbol"/>
    </w:rPr>
  </w:style>
  <w:style w:type="character" w:customStyle="1" w:styleId="MenuOptions">
    <w:name w:val="Menu Options"/>
    <w:basedOn w:val="DefaultParagraphFont"/>
    <w:rsid w:val="0042185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21852"/>
    <w:rPr>
      <w:b/>
    </w:rPr>
  </w:style>
  <w:style w:type="character" w:customStyle="1" w:styleId="Underlined">
    <w:name w:val="Underlined"/>
    <w:basedOn w:val="DefaultParagraphFont"/>
    <w:rsid w:val="00421852"/>
    <w:rPr>
      <w:u w:val="single"/>
    </w:rPr>
  </w:style>
  <w:style w:type="paragraph" w:customStyle="1" w:styleId="TableBodyTextRight">
    <w:name w:val="Table Body Text Right"/>
    <w:basedOn w:val="TableBodyText"/>
    <w:rsid w:val="0042185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21852"/>
    <w:rPr>
      <w:sz w:val="18"/>
    </w:rPr>
  </w:style>
  <w:style w:type="paragraph" w:customStyle="1" w:styleId="BodySmallRight">
    <w:name w:val="Body Small Right"/>
    <w:basedOn w:val="BodyTextRight"/>
    <w:rsid w:val="00421852"/>
    <w:rPr>
      <w:sz w:val="18"/>
      <w:szCs w:val="18"/>
    </w:rPr>
  </w:style>
  <w:style w:type="paragraph" w:customStyle="1" w:styleId="MarginEdition">
    <w:name w:val="Margin Edition"/>
    <w:basedOn w:val="MarginNote"/>
    <w:rsid w:val="0042185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21852"/>
    <w:rPr>
      <w:sz w:val="2"/>
      <w:szCs w:val="2"/>
    </w:rPr>
  </w:style>
  <w:style w:type="character" w:customStyle="1" w:styleId="Small">
    <w:name w:val="Small"/>
    <w:basedOn w:val="DefaultParagraphFont"/>
    <w:rsid w:val="00421852"/>
    <w:rPr>
      <w:sz w:val="16"/>
    </w:rPr>
  </w:style>
  <w:style w:type="paragraph" w:customStyle="1" w:styleId="WideTable">
    <w:name w:val="Wide Table"/>
    <w:basedOn w:val="Normal"/>
    <w:rsid w:val="0042185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21852"/>
  </w:style>
  <w:style w:type="paragraph" w:styleId="Quote">
    <w:name w:val="Quote"/>
    <w:basedOn w:val="Heading1"/>
    <w:link w:val="QuoteChar"/>
    <w:qFormat/>
    <w:rsid w:val="0042185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2185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21852"/>
    <w:pPr>
      <w:pageBreakBefore/>
    </w:pPr>
  </w:style>
  <w:style w:type="paragraph" w:customStyle="1" w:styleId="Border">
    <w:name w:val="Border"/>
    <w:basedOn w:val="Normal"/>
    <w:qFormat/>
    <w:rsid w:val="0042185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2185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2185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2185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2185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2185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2185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2185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2185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21852"/>
    <w:rPr>
      <w:u w:val="single"/>
    </w:rPr>
  </w:style>
  <w:style w:type="character" w:customStyle="1" w:styleId="BoldandItalics">
    <w:name w:val="Bold and Italics"/>
    <w:qFormat/>
    <w:rsid w:val="00421852"/>
    <w:rPr>
      <w:b/>
      <w:i/>
      <w:u w:val="none"/>
    </w:rPr>
  </w:style>
  <w:style w:type="paragraph" w:styleId="BalloonText">
    <w:name w:val="Balloon Text"/>
    <w:basedOn w:val="Normal"/>
    <w:link w:val="BalloonTextChar"/>
    <w:rsid w:val="0042185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2185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2185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2185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2185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2185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21852"/>
    <w:pPr>
      <w:spacing w:before="0" w:after="0"/>
    </w:pPr>
  </w:style>
  <w:style w:type="paragraph" w:customStyle="1" w:styleId="BodyTextBold">
    <w:name w:val="Body Text Bold"/>
    <w:basedOn w:val="BodyText"/>
    <w:qFormat/>
    <w:rsid w:val="00421852"/>
    <w:rPr>
      <w:b/>
    </w:rPr>
  </w:style>
  <w:style w:type="character" w:styleId="Hyperlink">
    <w:name w:val="Hyperlink"/>
    <w:basedOn w:val="DefaultParagraphFont"/>
    <w:uiPriority w:val="99"/>
    <w:unhideWhenUsed/>
    <w:rsid w:val="004E338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491</Words>
  <Characters>3396</Characters>
  <Application>Microsoft Office Word</Application>
  <DocSecurity>0</DocSecurity>
  <Lines>102</Lines>
  <Paragraphs>88</Paragraphs>
  <ScaleCrop>false</ScaleCrop>
  <Company>Author-it Software Corporation Ltd.</Company>
  <LinksUpToDate>false</LinksUpToDate>
  <CharactersWithSpaces>3799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HLTCCD005 Abstract information for clinical coding</dc:title>
  <dc:subject>Approved</dc:subject>
  <dc:creator>SkillsIQ</dc:creator>
  <cp:keywords>Release: 2</cp:keywords>
  <dc:description>Review Date: 12 April 2008</dc:description>
  <cp:lastModifiedBy>HSD_TPCMSd.prod</cp:lastModifiedBy>
  <cp:revision>3</cp:revision>
  <dcterms:created xsi:type="dcterms:W3CDTF">2023-07-01T03:57:00Z</dcterms:created>
  <dcterms:modified xsi:type="dcterms:W3CDTF">2023-07-01T03:57:00Z</dcterms:modified>
</cp:coreProperties>
</file>