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BEF" w:rsidP="00857BEF">
      <w:pPr>
        <w:pStyle w:val="Title"/>
      </w:pPr>
      <w:r>
        <w:fldChar w:fldCharType="begin"/>
      </w:r>
      <w:r>
        <w:instrText xml:space="preserve"> TITLE   \* MERGEFORMAT </w:instrText>
      </w:r>
      <w:r>
        <w:fldChar w:fldCharType="separate"/>
      </w:r>
      <w:r>
        <w:t>HLTCCD004 Interpret clinical documentation using knowledge of anatomy and physiology</w:t>
      </w:r>
      <w:r>
        <w:fldChar w:fldCharType="end"/>
      </w:r>
    </w:p>
    <w:p w:rsidR="00857BEF" w:rsidP="00857BEF">
      <w:pPr>
        <w:pStyle w:val="Version"/>
        <w:sectPr w:rsidSect="00A01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719" w:rsidP="00A01719">
      <w:pPr>
        <w:pStyle w:val="SuperHeading"/>
      </w:pPr>
      <w:r w:rsidRPr="00A01719">
        <w:t>HLTCCD004 Interpret clinical documentation using knowledge of anatomy and physiology</w:t>
      </w:r>
    </w:p>
    <w:p w:rsidR="00000000" w:rsidRPr="00A01719" w:rsidP="00A01719">
      <w:pPr>
        <w:pStyle w:val="Heading1"/>
      </w:pPr>
      <w:bookmarkStart w:id="1" w:name="O_1200095"/>
      <w:bookmarkEnd w:id="1"/>
      <w:r w:rsidRPr="00A01719">
        <w:t>Modification History</w:t>
      </w:r>
    </w:p>
    <w:tbl>
      <w:tblPr>
        <w:tblW w:w="0" w:type="auto"/>
        <w:tblLayout w:type="fixed"/>
        <w:tblCellMar>
          <w:left w:w="62" w:type="dxa"/>
          <w:right w:w="62" w:type="dxa"/>
        </w:tblCellMar>
        <w:tblLook w:val="0000"/>
      </w:tblPr>
      <w:tblGrid>
        <w:gridCol w:w="3040"/>
        <w:gridCol w:w="6074"/>
      </w:tblGrid>
      <w:tr w:rsidTr="00A0171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01719" w:rsidP="00A01719">
            <w:pPr>
              <w:pStyle w:val="BodyText"/>
            </w:pPr>
            <w:r w:rsidRPr="00A0171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01719">
            <w:pPr>
              <w:pStyle w:val="BodyText"/>
              <w:rPr>
                <w:lang w:val="en-NZ"/>
              </w:rPr>
            </w:pPr>
            <w:r w:rsidRPr="00A01719">
              <w:rPr>
                <w:rStyle w:val="SpecialBold"/>
              </w:rPr>
              <w:t>Comments</w:t>
            </w:r>
          </w:p>
        </w:tc>
      </w:tr>
      <w:tr w:rsidTr="00A0171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719">
            <w:pPr>
              <w:pStyle w:val="BodyText"/>
              <w:rPr>
                <w:lang w:val="en-NZ"/>
              </w:rPr>
            </w:pPr>
            <w:r w:rsidRPr="00A0171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719" w:rsidP="00A01719">
            <w:pPr>
              <w:pStyle w:val="BodyText"/>
            </w:pPr>
            <w:r w:rsidRPr="00A01719">
              <w:t>Release 2 HLTCCD004 Interpret clinical documentation using knowledge of anatomy and physiology supersedes and is equivalent to Release 1 HLTCCD004 Interpret clinical documentation using knowledge of anatomy and physiology.</w:t>
            </w:r>
          </w:p>
          <w:p w:rsidR="00000000" w:rsidRPr="00A01719" w:rsidP="00A01719">
            <w:pPr>
              <w:pStyle w:val="BodyText"/>
            </w:pPr>
            <w:r w:rsidRPr="00A01719">
              <w:t>Updated:</w:t>
            </w:r>
          </w:p>
          <w:p w:rsidR="00000000" w:rsidP="00A01719">
            <w:pPr>
              <w:pStyle w:val="BodyText"/>
              <w:rPr>
                <w:lang w:val="en-NZ"/>
              </w:rPr>
            </w:pPr>
            <w:r w:rsidRPr="00A01719">
              <w:t>Mapping details and mino</w:t>
            </w:r>
            <w:r w:rsidRPr="00A01719">
              <w:t>r corrections</w:t>
            </w:r>
          </w:p>
        </w:tc>
      </w:tr>
      <w:tr w:rsidTr="00A0171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719">
            <w:pPr>
              <w:pStyle w:val="BodyText"/>
              <w:rPr>
                <w:lang w:val="en-NZ"/>
              </w:rPr>
            </w:pPr>
            <w:r w:rsidRPr="00A0171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719" w:rsidP="00A01719">
            <w:pPr>
              <w:pStyle w:val="BodyText"/>
            </w:pPr>
            <w:r w:rsidRPr="00A01719">
              <w:t>Release 1 HLTCCD004 Interpret clinical documentation using knowledge of anatomy and physiology no equivalent unit.</w:t>
            </w:r>
          </w:p>
        </w:tc>
      </w:tr>
    </w:tbl>
    <w:p w:rsidR="00000000" w:rsidRPr="00A01719" w:rsidP="00A01719">
      <w:pPr>
        <w:pStyle w:val="BodyText"/>
      </w:pPr>
    </w:p>
    <w:p w:rsidR="00000000" w:rsidRPr="00A01719" w:rsidP="00A01719">
      <w:pPr>
        <w:pStyle w:val="AllowPageBreak"/>
      </w:pPr>
    </w:p>
    <w:p w:rsidR="00000000" w:rsidRPr="00A01719" w:rsidP="00A01719">
      <w:pPr>
        <w:pStyle w:val="Heading1"/>
      </w:pPr>
      <w:bookmarkStart w:id="2" w:name="O_1200094"/>
      <w:bookmarkEnd w:id="2"/>
      <w:r w:rsidRPr="00A01719">
        <w:t>Application</w:t>
      </w:r>
    </w:p>
    <w:p w:rsidR="00000000" w:rsidRPr="00A01719" w:rsidP="00857BEF">
      <w:pPr>
        <w:pStyle w:val="BodyText"/>
      </w:pPr>
      <w:r w:rsidRPr="00A01719">
        <w:t>This unit describes the performance outcomes, skills and knowledge required to establish an understanding of human anatomy and physiology, diseases and conditions and surgical procedures and interventions in order to interpret clinical documentation.</w:t>
      </w:r>
    </w:p>
    <w:p w:rsidR="00000000" w:rsidRPr="00A01719" w:rsidP="00857BEF">
      <w:pPr>
        <w:pStyle w:val="BodyText"/>
      </w:pPr>
      <w:r w:rsidRPr="00A01719">
        <w:t xml:space="preserve">This </w:t>
      </w:r>
      <w:r w:rsidRPr="00A01719">
        <w:t>unit applies to health care professionals who are responsible for interpreting and extracting patient clinical information for the purposes of providing health care services. Work may be performed as an individual or as part of a team under limited supervi</w:t>
      </w:r>
      <w:r w:rsidRPr="00A01719">
        <w:t>sion.</w:t>
      </w:r>
    </w:p>
    <w:p w:rsidR="00000000" w:rsidRPr="00A01719" w:rsidP="00857BEF">
      <w:pPr>
        <w:pStyle w:val="BodyText"/>
      </w:pPr>
      <w:r w:rsidRPr="00A01719">
        <w:t>The skills in this unit must be applied in accordance with Commonwealth and State/Territory legislation, Australian standards and industry codes of practice.</w:t>
      </w:r>
    </w:p>
    <w:p w:rsidR="00000000" w:rsidRPr="00A01719" w:rsidP="00857BEF">
      <w:pPr>
        <w:pStyle w:val="BodyText"/>
      </w:pPr>
      <w:r w:rsidRPr="00A01719">
        <w:t xml:space="preserve">No occupational licensing, certification or specific legislative requirements apply to this </w:t>
      </w:r>
      <w:r w:rsidRPr="00A01719">
        <w:t>unit at the time of publication.</w:t>
      </w:r>
    </w:p>
    <w:p w:rsidR="00000000" w:rsidRPr="00A01719" w:rsidP="00A01719">
      <w:pPr>
        <w:pStyle w:val="Heading1"/>
      </w:pPr>
      <w:bookmarkStart w:id="3" w:name="O_1200093"/>
      <w:bookmarkEnd w:id="3"/>
      <w:r w:rsidRPr="00A01719">
        <w:t>Pre-requisite Unit</w:t>
      </w:r>
    </w:p>
    <w:p w:rsidR="00000000" w:rsidRPr="00A01719" w:rsidP="00857BEF">
      <w:pPr>
        <w:pStyle w:val="BodyText"/>
      </w:pPr>
      <w:r w:rsidRPr="00A01719">
        <w:t>Nil</w:t>
      </w:r>
    </w:p>
    <w:p w:rsidR="00000000" w:rsidRPr="00A01719" w:rsidP="00A01719">
      <w:pPr>
        <w:pStyle w:val="Heading1"/>
      </w:pPr>
      <w:bookmarkStart w:id="4" w:name="O_1200092"/>
      <w:bookmarkEnd w:id="4"/>
      <w:r w:rsidRPr="00A01719">
        <w:t>Competency Field</w:t>
      </w:r>
    </w:p>
    <w:p w:rsidR="00000000" w:rsidRPr="00A01719" w:rsidP="00857BEF">
      <w:pPr>
        <w:pStyle w:val="BodyText"/>
      </w:pPr>
      <w:r w:rsidRPr="00A01719">
        <w:t>Clinical Coding</w:t>
      </w:r>
    </w:p>
    <w:p w:rsidR="00000000" w:rsidRPr="00A01719" w:rsidP="00A01719">
      <w:pPr>
        <w:pStyle w:val="Heading1"/>
      </w:pPr>
      <w:bookmarkStart w:id="5" w:name="O_1200091"/>
      <w:bookmarkEnd w:id="5"/>
      <w:r w:rsidRPr="00A01719">
        <w:t>Unit Sector</w:t>
      </w:r>
    </w:p>
    <w:p w:rsidR="00857BEF" w:rsidP="00857BEF">
      <w:pPr>
        <w:pStyle w:val="BodyText"/>
      </w:pPr>
      <w:r w:rsidRPr="00A01719">
        <w:t>Health Administration</w:t>
      </w:r>
    </w:p>
    <w:p w:rsidR="00000000" w:rsidRPr="00A01719" w:rsidP="00A01719">
      <w:pPr>
        <w:pStyle w:val="Heading1"/>
      </w:pPr>
      <w:bookmarkStart w:id="6" w:name="O_1200090"/>
      <w:bookmarkEnd w:id="6"/>
      <w:r w:rsidRPr="00A01719">
        <w:t>Elements and Performance Criteria</w:t>
      </w:r>
    </w:p>
    <w:tbl>
      <w:tblPr>
        <w:tblW w:w="0" w:type="auto"/>
        <w:tblCellMar>
          <w:left w:w="62" w:type="dxa"/>
          <w:right w:w="62" w:type="dxa"/>
        </w:tblCellMar>
        <w:tblLook w:val="0000"/>
      </w:tblPr>
      <w:tblGrid>
        <w:gridCol w:w="2394"/>
        <w:gridCol w:w="6802"/>
      </w:tblGrid>
      <w:tr w:rsidTr="00857BE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A01719" w:rsidP="00A01719">
            <w:pPr>
              <w:pStyle w:val="BodyText"/>
            </w:pPr>
            <w:r w:rsidRPr="00A0171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01719">
            <w:pPr>
              <w:pStyle w:val="BodyText"/>
              <w:rPr>
                <w:lang w:val="en-NZ"/>
              </w:rPr>
            </w:pPr>
            <w:r w:rsidRPr="00A01719">
              <w:rPr>
                <w:rStyle w:val="SpecialBold"/>
              </w:rPr>
              <w:t>PERFORMANCE</w:t>
            </w:r>
            <w:r w:rsidRPr="00A01719">
              <w:t xml:space="preserve"> </w:t>
            </w:r>
            <w:r w:rsidRPr="00A01719">
              <w:rPr>
                <w:rStyle w:val="SpecialBold"/>
              </w:rPr>
              <w:t>CRITERIA</w:t>
            </w:r>
          </w:p>
        </w:tc>
      </w:tr>
      <w:tr w:rsidTr="00857BEF">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A01719" w:rsidP="00A01719">
            <w:pPr>
              <w:pStyle w:val="BodyText"/>
            </w:pPr>
            <w:r w:rsidRPr="00A01719">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01719">
            <w:pPr>
              <w:pStyle w:val="BodyText"/>
              <w:rPr>
                <w:lang w:val="en-NZ"/>
              </w:rPr>
            </w:pPr>
            <w:r w:rsidRPr="00A01719">
              <w:rPr>
                <w:rStyle w:val="Emphasis"/>
              </w:rPr>
              <w:t>Performance criteria describe the performance needed to demonstrate achievement of the element.</w:t>
            </w:r>
          </w:p>
        </w:tc>
      </w:tr>
      <w:tr w:rsidTr="00857BEF">
        <w:tblPrEx>
          <w:tblW w:w="0" w:type="auto"/>
          <w:tblCellMar>
            <w:left w:w="62" w:type="dxa"/>
            <w:right w:w="62" w:type="dxa"/>
          </w:tblCellMar>
          <w:tblLook w:val="0000"/>
        </w:tblPrEx>
        <w:trPr>
          <w:trHeight w:val="325"/>
        </w:trPr>
        <w:tc>
          <w:tcPr>
            <w:tcW w:w="0" w:type="auto"/>
            <w:tcBorders>
              <w:top w:val="nil"/>
              <w:left w:val="nil"/>
              <w:bottom w:val="nil"/>
              <w:right w:val="nil"/>
            </w:tcBorders>
            <w:tcMar>
              <w:top w:w="0" w:type="dxa"/>
              <w:left w:w="62" w:type="dxa"/>
              <w:bottom w:w="0" w:type="dxa"/>
              <w:right w:w="62" w:type="dxa"/>
            </w:tcMar>
          </w:tcPr>
          <w:p w:rsidR="00000000" w:rsidP="00A01719">
            <w:pPr>
              <w:pStyle w:val="List"/>
              <w:rPr>
                <w:lang w:val="en-NZ"/>
              </w:rPr>
            </w:pPr>
            <w:r w:rsidRPr="00A01719">
              <w:t>1.  Identify the structure and function of the human body and the effect of diseases and conditions.</w:t>
            </w:r>
          </w:p>
        </w:tc>
        <w:tc>
          <w:tcPr>
            <w:tcW w:w="0" w:type="auto"/>
            <w:tcBorders>
              <w:top w:val="nil"/>
              <w:left w:val="nil"/>
              <w:bottom w:val="nil"/>
              <w:right w:val="nil"/>
            </w:tcBorders>
            <w:tcMar>
              <w:top w:w="0" w:type="dxa"/>
              <w:left w:w="62" w:type="dxa"/>
              <w:bottom w:w="0" w:type="dxa"/>
              <w:right w:w="62" w:type="dxa"/>
            </w:tcMar>
          </w:tcPr>
          <w:p w:rsidR="00000000" w:rsidRPr="00A01719" w:rsidP="00A01719">
            <w:pPr>
              <w:pStyle w:val="List"/>
            </w:pPr>
            <w:r w:rsidRPr="00A01719">
              <w:t>1.1. Id</w:t>
            </w:r>
            <w:r w:rsidRPr="00A01719">
              <w:t>entify the key anatomical structures of the human body system and their component parts.</w:t>
            </w:r>
          </w:p>
          <w:p w:rsidR="00000000" w:rsidRPr="00A01719" w:rsidP="00A01719">
            <w:pPr>
              <w:pStyle w:val="List"/>
            </w:pPr>
            <w:r w:rsidRPr="00A01719">
              <w:t xml:space="preserve">1.2. Recognise normal body functions that maintain homeostasis. </w:t>
            </w:r>
          </w:p>
          <w:p w:rsidR="00000000" w:rsidRPr="00A01719" w:rsidP="00A01719">
            <w:pPr>
              <w:pStyle w:val="List"/>
            </w:pPr>
            <w:r w:rsidRPr="00A01719">
              <w:t>1.3. Identify common diseases and conditions affecting the human body system and differentiate signs a</w:t>
            </w:r>
            <w:r w:rsidRPr="00A01719">
              <w:t>nd symptoms from pathological conditions for each system.</w:t>
            </w:r>
          </w:p>
          <w:p w:rsidR="00000000" w:rsidP="00A01719">
            <w:pPr>
              <w:pStyle w:val="List"/>
              <w:rPr>
                <w:lang w:val="en-NZ"/>
              </w:rPr>
            </w:pPr>
            <w:r w:rsidRPr="00A01719">
              <w:t>1.4. Use knowledge of anatomy and physiology to determine disease progression.</w:t>
            </w:r>
          </w:p>
        </w:tc>
      </w:tr>
      <w:tr w:rsidTr="00857BE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A01719">
            <w:pPr>
              <w:pStyle w:val="List"/>
              <w:rPr>
                <w:lang w:val="en-NZ"/>
              </w:rPr>
            </w:pPr>
            <w:r w:rsidRPr="00A01719">
              <w:t>2.  Identify the appropriate investigation and treatment for diseases and conditions.</w:t>
            </w:r>
          </w:p>
        </w:tc>
        <w:tc>
          <w:tcPr>
            <w:tcW w:w="0" w:type="auto"/>
            <w:tcBorders>
              <w:top w:val="nil"/>
              <w:left w:val="nil"/>
              <w:bottom w:val="nil"/>
              <w:right w:val="nil"/>
            </w:tcBorders>
            <w:tcMar>
              <w:top w:w="0" w:type="dxa"/>
              <w:left w:w="62" w:type="dxa"/>
              <w:bottom w:w="0" w:type="dxa"/>
              <w:right w:w="62" w:type="dxa"/>
            </w:tcMar>
          </w:tcPr>
          <w:p w:rsidR="00000000" w:rsidRPr="00A01719" w:rsidP="00A01719">
            <w:pPr>
              <w:pStyle w:val="List"/>
            </w:pPr>
            <w:r w:rsidRPr="00A01719">
              <w:t>2.1. Identify methods used to diagnose diseases and conditions.</w:t>
            </w:r>
          </w:p>
          <w:p w:rsidR="00000000" w:rsidRPr="00A01719" w:rsidP="00A01719">
            <w:pPr>
              <w:pStyle w:val="List"/>
            </w:pPr>
            <w:r w:rsidRPr="00A01719">
              <w:t xml:space="preserve">2.2. Identify common surgical procedures or interventions used to treat diseases and conditions. </w:t>
            </w:r>
          </w:p>
          <w:p w:rsidR="00000000" w:rsidP="00A01719">
            <w:pPr>
              <w:pStyle w:val="List"/>
              <w:rPr>
                <w:lang w:val="en-NZ"/>
              </w:rPr>
            </w:pPr>
            <w:r w:rsidRPr="00A01719">
              <w:t>2.3. Locate required drug information including dosage, administration routes and indication f</w:t>
            </w:r>
            <w:r w:rsidRPr="00A01719">
              <w:t>or use using the relevant drug reference material, in accordance with organisational policies and procedures.</w:t>
            </w:r>
          </w:p>
        </w:tc>
      </w:tr>
      <w:tr w:rsidTr="00857BE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A01719">
            <w:pPr>
              <w:pStyle w:val="List"/>
              <w:rPr>
                <w:lang w:val="en-NZ"/>
              </w:rPr>
            </w:pPr>
            <w:r w:rsidRPr="00A01719">
              <w:t>3.  Apply and maintain knowledge of anatomy and physiology.</w:t>
            </w:r>
          </w:p>
        </w:tc>
        <w:tc>
          <w:tcPr>
            <w:tcW w:w="0" w:type="auto"/>
            <w:tcBorders>
              <w:top w:val="nil"/>
              <w:left w:val="nil"/>
              <w:bottom w:val="nil"/>
              <w:right w:val="nil"/>
            </w:tcBorders>
            <w:tcMar>
              <w:top w:w="0" w:type="dxa"/>
              <w:left w:w="62" w:type="dxa"/>
              <w:bottom w:w="0" w:type="dxa"/>
              <w:right w:w="62" w:type="dxa"/>
            </w:tcMar>
          </w:tcPr>
          <w:p w:rsidR="00000000" w:rsidRPr="00A01719" w:rsidP="00A01719">
            <w:pPr>
              <w:pStyle w:val="List"/>
            </w:pPr>
            <w:r w:rsidRPr="00A01719">
              <w:t>3.1. Apply knowledge of anatomy and physiology to analyse episodes of care.</w:t>
            </w:r>
          </w:p>
          <w:p w:rsidR="00000000" w:rsidRPr="00A01719" w:rsidP="00A01719">
            <w:pPr>
              <w:pStyle w:val="List"/>
            </w:pPr>
            <w:r w:rsidRPr="00A01719">
              <w:t>3.2. Iden</w:t>
            </w:r>
            <w:r w:rsidRPr="00A01719">
              <w:t>tify and use opportunities to update and expand own knowledge of anatomy and physiology, the disease process and clinical interventions.</w:t>
            </w:r>
          </w:p>
          <w:p w:rsidR="00000000" w:rsidRPr="00A01719" w:rsidP="00A01719">
            <w:pPr>
              <w:pStyle w:val="List"/>
            </w:pPr>
            <w:r w:rsidRPr="00A01719">
              <w:t>3.3. Use medical references to interpret clinical information.</w:t>
            </w:r>
          </w:p>
        </w:tc>
      </w:tr>
    </w:tbl>
    <w:p w:rsidR="00000000" w:rsidRPr="00A01719" w:rsidP="00A01719">
      <w:pPr>
        <w:pStyle w:val="BodyText"/>
      </w:pPr>
    </w:p>
    <w:p w:rsidR="00000000" w:rsidRPr="00A01719" w:rsidP="00A01719">
      <w:pPr>
        <w:pStyle w:val="AllowPageBreak"/>
      </w:pPr>
    </w:p>
    <w:p w:rsidR="00000000" w:rsidRPr="00A01719" w:rsidP="00A01719">
      <w:pPr>
        <w:pStyle w:val="Heading1"/>
      </w:pPr>
      <w:bookmarkStart w:id="7" w:name="O_1200089"/>
      <w:bookmarkEnd w:id="7"/>
      <w:r w:rsidRPr="00A01719">
        <w:t>Foundation Skills</w:t>
      </w:r>
    </w:p>
    <w:p w:rsidR="00000000" w:rsidRPr="00A01719" w:rsidP="00857BEF">
      <w:pPr>
        <w:pStyle w:val="BodyText"/>
      </w:pPr>
      <w:r w:rsidRPr="00A01719">
        <w:t>Foundation skills</w:t>
      </w:r>
      <w:r w:rsidRPr="00A01719">
        <w:t xml:space="preserve"> essential to performance are explicit in the performance criteria of this unit of competency.</w:t>
      </w:r>
    </w:p>
    <w:p w:rsidR="00000000" w:rsidRPr="00A01719" w:rsidP="00A01719">
      <w:pPr>
        <w:pStyle w:val="Heading1"/>
      </w:pPr>
      <w:bookmarkStart w:id="8" w:name="O_1200088"/>
      <w:bookmarkEnd w:id="8"/>
      <w:r w:rsidRPr="00A01719">
        <w:t>Unit Mapping Information</w:t>
      </w:r>
    </w:p>
    <w:p w:rsidR="00000000" w:rsidRPr="00A01719" w:rsidP="00857BEF">
      <w:pPr>
        <w:pStyle w:val="BodyText"/>
      </w:pPr>
      <w:r w:rsidRPr="00A01719">
        <w:t>No Equivalent Unit</w:t>
      </w:r>
    </w:p>
    <w:p w:rsidR="00000000" w:rsidRPr="00A01719" w:rsidP="00A01719">
      <w:pPr>
        <w:pStyle w:val="Heading1"/>
      </w:pPr>
      <w:bookmarkStart w:id="9" w:name="O_1200096"/>
      <w:bookmarkEnd w:id="9"/>
      <w:r w:rsidRPr="00A01719">
        <w:t>Links</w:t>
      </w:r>
    </w:p>
    <w:p w:rsidR="00000000" w:rsidRPr="00A01719" w:rsidP="00857BEF">
      <w:pPr>
        <w:pStyle w:val="BodyText"/>
      </w:pPr>
      <w:r w:rsidRPr="00A017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60546">
        <w:rPr>
          <w:rStyle w:val="Hyperlink"/>
        </w:rPr>
        <w:t>https://vetnet.gov.au/Pages/TrainingDocs.aspx?q=ced1390f-48d9-4ab0-bd50-b015e5485705</w:t>
      </w:r>
      <w:r>
        <w:fldChar w:fldCharType="end"/>
      </w:r>
    </w:p>
    <w:p w:rsidR="00000000" w:rsidRPr="00A01719" w:rsidP="00857BEF">
      <w:pPr>
        <w:pStyle w:val="BodyText"/>
        <w:sectPr w:rsidSect="00A01719">
          <w:headerReference w:type="default" r:id="rId10"/>
          <w:footerReference w:type="default" r:id="rId11"/>
          <w:pgSz w:w="11908" w:h="16833"/>
          <w:pgMar w:top="1702" w:right="1418" w:bottom="1702" w:left="1418" w:header="992" w:footer="992" w:gutter="0"/>
          <w:cols w:space="720"/>
          <w:noEndnote/>
          <w:docGrid w:linePitch="299"/>
        </w:sectPr>
      </w:pPr>
    </w:p>
    <w:p w:rsidR="00000000" w:rsidRPr="00A01719" w:rsidP="00A01719">
      <w:pPr>
        <w:pStyle w:val="SuperHeading"/>
      </w:pPr>
      <w:r w:rsidRPr="00A01719">
        <w:t>Assessment Requirements for HLTCCD004 Interpret clinical docume</w:t>
      </w:r>
      <w:r w:rsidRPr="00A01719">
        <w:t>ntation using knowledge of anatomy and physiology</w:t>
      </w:r>
    </w:p>
    <w:p w:rsidR="00000000" w:rsidRPr="00A01719" w:rsidP="00A01719">
      <w:pPr>
        <w:pStyle w:val="Heading1"/>
      </w:pPr>
      <w:bookmarkStart w:id="10" w:name="O_1200086"/>
      <w:bookmarkEnd w:id="10"/>
      <w:r w:rsidRPr="00A01719">
        <w:t>Modification History</w:t>
      </w:r>
    </w:p>
    <w:tbl>
      <w:tblPr>
        <w:tblW w:w="0" w:type="auto"/>
        <w:tblLayout w:type="fixed"/>
        <w:tblCellMar>
          <w:left w:w="62" w:type="dxa"/>
          <w:right w:w="62" w:type="dxa"/>
        </w:tblCellMar>
        <w:tblLook w:val="0000"/>
      </w:tblPr>
      <w:tblGrid>
        <w:gridCol w:w="3040"/>
        <w:gridCol w:w="6074"/>
      </w:tblGrid>
      <w:tr w:rsidTr="00A01719">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01719" w:rsidP="00A01719">
            <w:pPr>
              <w:pStyle w:val="BodyText"/>
            </w:pPr>
            <w:r w:rsidRPr="00A0171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01719">
            <w:pPr>
              <w:pStyle w:val="BodyText"/>
              <w:rPr>
                <w:lang w:val="en-NZ"/>
              </w:rPr>
            </w:pPr>
            <w:r w:rsidRPr="00A01719">
              <w:rPr>
                <w:rStyle w:val="SpecialBold"/>
              </w:rPr>
              <w:t>Comments</w:t>
            </w:r>
          </w:p>
        </w:tc>
      </w:tr>
      <w:tr w:rsidTr="00A0171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719">
            <w:pPr>
              <w:pStyle w:val="BodyText"/>
              <w:rPr>
                <w:lang w:val="en-NZ"/>
              </w:rPr>
            </w:pPr>
            <w:r w:rsidRPr="00A0171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719" w:rsidP="00A01719">
            <w:pPr>
              <w:pStyle w:val="BodyText"/>
            </w:pPr>
            <w:r w:rsidRPr="00A01719">
              <w:t>Release 2 HLTCCD004 Interpret clinical documentation using knowledge of anatomy and physiology supersedes and is equivalent to Release 1 HLTCCD004 Interpret clinical documentation using knowledge of anatomy and physiology.</w:t>
            </w:r>
          </w:p>
          <w:p w:rsidR="00000000" w:rsidRPr="00A01719" w:rsidP="00A01719">
            <w:pPr>
              <w:pStyle w:val="BodyText"/>
            </w:pPr>
            <w:r w:rsidRPr="00A01719">
              <w:t>Updated:</w:t>
            </w:r>
          </w:p>
          <w:p w:rsidR="00000000" w:rsidP="00A01719">
            <w:pPr>
              <w:pStyle w:val="BodyText"/>
              <w:rPr>
                <w:lang w:val="en-NZ"/>
              </w:rPr>
            </w:pPr>
            <w:r w:rsidRPr="00A01719">
              <w:t>Mapping details and mino</w:t>
            </w:r>
            <w:r w:rsidRPr="00A01719">
              <w:t>r corrections</w:t>
            </w:r>
          </w:p>
        </w:tc>
      </w:tr>
      <w:tr w:rsidTr="00A01719">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01719">
            <w:pPr>
              <w:pStyle w:val="BodyText"/>
              <w:rPr>
                <w:lang w:val="en-NZ"/>
              </w:rPr>
            </w:pPr>
            <w:r w:rsidRPr="00A0171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01719" w:rsidP="00A01719">
            <w:pPr>
              <w:pStyle w:val="BodyText"/>
            </w:pPr>
            <w:r w:rsidRPr="00A01719">
              <w:t>HLTCCD004 Interpret clinical documentation using knowledge of anatomy and physiology no equivalent unit.</w:t>
            </w:r>
          </w:p>
        </w:tc>
      </w:tr>
    </w:tbl>
    <w:p w:rsidR="00000000" w:rsidRPr="00A01719" w:rsidP="00A01719">
      <w:pPr>
        <w:pStyle w:val="BodyText"/>
      </w:pPr>
    </w:p>
    <w:p w:rsidR="00000000" w:rsidRPr="00A01719" w:rsidP="00A01719">
      <w:pPr>
        <w:pStyle w:val="AllowPageBreak"/>
      </w:pPr>
    </w:p>
    <w:p w:rsidR="00000000" w:rsidRPr="00A01719" w:rsidP="00A01719">
      <w:pPr>
        <w:pStyle w:val="Heading1"/>
      </w:pPr>
      <w:bookmarkStart w:id="11" w:name="O_1200085"/>
      <w:bookmarkEnd w:id="11"/>
      <w:r w:rsidRPr="00A01719">
        <w:t>Performance Evidence</w:t>
      </w:r>
    </w:p>
    <w:p w:rsidR="00000000" w:rsidRPr="00A01719" w:rsidP="00857BEF">
      <w:pPr>
        <w:pStyle w:val="BodyText"/>
      </w:pPr>
      <w:r w:rsidRPr="00A01719">
        <w:t>Evidence of the ability to complete tasks outlined in elements and performance criteria of this unit in the context of the job role, and:</w:t>
      </w:r>
    </w:p>
    <w:p w:rsidR="00000000" w:rsidRPr="00A01719" w:rsidP="00A01719">
      <w:pPr>
        <w:pStyle w:val="ListBullet"/>
      </w:pPr>
      <w:r w:rsidRPr="00A01719">
        <w:t>source and interpret clinical information on diseases and conditions affecting each of the body systems and specialit</w:t>
      </w:r>
      <w:r w:rsidRPr="00A01719">
        <w:t>ies including:</w:t>
      </w:r>
    </w:p>
    <w:p w:rsidR="00000000" w:rsidRPr="00A01719" w:rsidP="00A01719">
      <w:pPr>
        <w:pStyle w:val="ListBullet2"/>
      </w:pPr>
      <w:r w:rsidRPr="00A01719">
        <w:t>infectious and parasitic diseases</w:t>
      </w:r>
    </w:p>
    <w:p w:rsidR="00000000" w:rsidRPr="00A01719" w:rsidP="00A01719">
      <w:pPr>
        <w:pStyle w:val="ListBullet2"/>
      </w:pPr>
      <w:r w:rsidRPr="00A01719">
        <w:t>neoplasms</w:t>
      </w:r>
    </w:p>
    <w:p w:rsidR="00000000" w:rsidRPr="00A01719" w:rsidP="00A01719">
      <w:pPr>
        <w:pStyle w:val="ListBullet2"/>
      </w:pPr>
      <w:r w:rsidRPr="00A01719">
        <w:t>diseases of the blood and blood-forming organs and common disorders involving the immune mechanism</w:t>
      </w:r>
    </w:p>
    <w:p w:rsidR="00000000" w:rsidRPr="00A01719" w:rsidP="00A01719">
      <w:pPr>
        <w:pStyle w:val="ListBullet2"/>
      </w:pPr>
      <w:r w:rsidRPr="00A01719">
        <w:t>endocrine, nutritional and metabolic diseases</w:t>
      </w:r>
    </w:p>
    <w:p w:rsidR="00000000" w:rsidRPr="00A01719" w:rsidP="00A01719">
      <w:pPr>
        <w:pStyle w:val="ListBullet2"/>
      </w:pPr>
      <w:r w:rsidRPr="00A01719">
        <w:t>mental and behavioural disorders</w:t>
      </w:r>
    </w:p>
    <w:p w:rsidR="00000000" w:rsidRPr="00A01719" w:rsidP="00A01719">
      <w:pPr>
        <w:pStyle w:val="ListBullet2"/>
      </w:pPr>
      <w:r w:rsidRPr="00A01719">
        <w:t>diseases of the nervous system</w:t>
      </w:r>
    </w:p>
    <w:p w:rsidR="00000000" w:rsidRPr="00A01719" w:rsidP="00A01719">
      <w:pPr>
        <w:pStyle w:val="ListBullet2"/>
      </w:pPr>
      <w:r w:rsidRPr="00A01719">
        <w:t>diseases of the eye and adnexa</w:t>
      </w:r>
    </w:p>
    <w:p w:rsidR="00000000" w:rsidRPr="00A01719" w:rsidP="00A01719">
      <w:pPr>
        <w:pStyle w:val="ListBullet2"/>
      </w:pPr>
      <w:r w:rsidRPr="00A01719">
        <w:t>diseases of the ear and mastoid process</w:t>
      </w:r>
    </w:p>
    <w:p w:rsidR="00000000" w:rsidRPr="00A01719" w:rsidP="00A01719">
      <w:pPr>
        <w:pStyle w:val="ListBullet2"/>
      </w:pPr>
      <w:r w:rsidRPr="00A01719">
        <w:t>diseases of the circulatory system</w:t>
      </w:r>
    </w:p>
    <w:p w:rsidR="00000000" w:rsidRPr="00A01719" w:rsidP="00A01719">
      <w:pPr>
        <w:pStyle w:val="ListBullet2"/>
      </w:pPr>
      <w:r w:rsidRPr="00A01719">
        <w:t>diseases of the respiratory system</w:t>
      </w:r>
    </w:p>
    <w:p w:rsidR="00000000" w:rsidRPr="00A01719" w:rsidP="00A01719">
      <w:pPr>
        <w:pStyle w:val="ListBullet2"/>
      </w:pPr>
      <w:r w:rsidRPr="00A01719">
        <w:t>diseases of the digestive system</w:t>
      </w:r>
    </w:p>
    <w:p w:rsidR="00000000" w:rsidRPr="00A01719" w:rsidP="00A01719">
      <w:pPr>
        <w:pStyle w:val="ListBullet2"/>
      </w:pPr>
      <w:r w:rsidRPr="00A01719">
        <w:t>diseases of the skin and subcutaneous tissue</w:t>
      </w:r>
    </w:p>
    <w:p w:rsidR="00000000" w:rsidRPr="00A01719" w:rsidP="00A01719">
      <w:pPr>
        <w:pStyle w:val="ListBullet2"/>
      </w:pPr>
      <w:r w:rsidRPr="00A01719">
        <w:t>diseas</w:t>
      </w:r>
      <w:r w:rsidRPr="00A01719">
        <w:t>es of the musculoskeletal system and connective tissue</w:t>
      </w:r>
    </w:p>
    <w:p w:rsidR="00000000" w:rsidRPr="00A01719" w:rsidP="00A01719">
      <w:pPr>
        <w:pStyle w:val="ListBullet2"/>
      </w:pPr>
      <w:r w:rsidRPr="00A01719">
        <w:t>diseases of the genitourinary system</w:t>
      </w:r>
    </w:p>
    <w:p w:rsidR="00000000" w:rsidRPr="00A01719" w:rsidP="00A01719">
      <w:pPr>
        <w:pStyle w:val="ListBullet2"/>
      </w:pPr>
      <w:r w:rsidRPr="00A01719">
        <w:t>pregnancy, childbirth and the puerperium conditions originating in the perinatal period including congenital malformations, deformations and chromosomal abnormaliti</w:t>
      </w:r>
      <w:r w:rsidRPr="00A01719">
        <w:t>es</w:t>
      </w:r>
    </w:p>
    <w:p w:rsidR="00000000" w:rsidRPr="00A01719" w:rsidP="00A01719">
      <w:pPr>
        <w:pStyle w:val="ListBullet2"/>
      </w:pPr>
      <w:r w:rsidRPr="00A01719">
        <w:t>symptoms, signs and abnormal clinical and laboratory findings, not elsewhere classified</w:t>
      </w:r>
    </w:p>
    <w:p w:rsidR="00000000" w:rsidRPr="00A01719" w:rsidP="00A01719">
      <w:pPr>
        <w:pStyle w:val="ListBullet2"/>
      </w:pPr>
      <w:r w:rsidRPr="00A01719">
        <w:t>injury, poisoning and other causes of morbidity and mortality</w:t>
      </w:r>
    </w:p>
    <w:p w:rsidR="00000000" w:rsidRPr="00A01719" w:rsidP="00A01719">
      <w:pPr>
        <w:pStyle w:val="ListBullet"/>
      </w:pPr>
      <w:r w:rsidRPr="00A01719">
        <w:t>for each of the diseases or conditions above, interpret clinical information to:</w:t>
      </w:r>
    </w:p>
    <w:p w:rsidR="00000000" w:rsidRPr="00A01719" w:rsidP="00A01719">
      <w:pPr>
        <w:pStyle w:val="ListBullet2"/>
      </w:pPr>
      <w:r w:rsidRPr="00A01719">
        <w:t>identify the investigations or interventions used to diagnose the disease or condition</w:t>
      </w:r>
    </w:p>
    <w:p w:rsidR="00000000" w:rsidRPr="00A01719" w:rsidP="00A01719">
      <w:pPr>
        <w:pStyle w:val="ListBullet2"/>
      </w:pPr>
      <w:r w:rsidRPr="00A01719">
        <w:t>identify medical and surgical interventions used to treat the disease or condition.</w:t>
      </w:r>
    </w:p>
    <w:p w:rsidR="00000000" w:rsidRPr="00A01719" w:rsidP="00A01719">
      <w:pPr>
        <w:pStyle w:val="AllowPageBreak"/>
      </w:pPr>
    </w:p>
    <w:p w:rsidR="00000000" w:rsidRPr="00A01719" w:rsidP="00A01719">
      <w:pPr>
        <w:pStyle w:val="Heading1"/>
      </w:pPr>
      <w:bookmarkStart w:id="12" w:name="O_1200084"/>
      <w:bookmarkEnd w:id="12"/>
      <w:r w:rsidRPr="00A01719">
        <w:t>Knowledge Evidence</w:t>
      </w:r>
    </w:p>
    <w:p w:rsidR="00000000" w:rsidRPr="00A01719" w:rsidP="00857BEF">
      <w:pPr>
        <w:pStyle w:val="BodyText"/>
      </w:pPr>
      <w:r w:rsidRPr="00A01719">
        <w:t>Demonstrated knowledge required to complete the</w:t>
      </w:r>
      <w:r w:rsidRPr="00A01719">
        <w:t xml:space="preserve"> tasks outlined in elements and performance criteria of this unit:</w:t>
      </w:r>
    </w:p>
    <w:p w:rsidR="00000000" w:rsidRPr="00A01719" w:rsidP="00A01719">
      <w:pPr>
        <w:pStyle w:val="ListBullet"/>
      </w:pPr>
      <w:r w:rsidRPr="00A01719">
        <w:t xml:space="preserve">common diseases and conditions affecting each of the following body systems and specialities including: </w:t>
      </w:r>
    </w:p>
    <w:p w:rsidR="00000000" w:rsidRPr="00A01719" w:rsidP="00A01719">
      <w:pPr>
        <w:pStyle w:val="ListBullet2"/>
      </w:pPr>
      <w:r w:rsidRPr="00A01719">
        <w:t>infectious and parasitic diseases</w:t>
      </w:r>
    </w:p>
    <w:p w:rsidR="00000000" w:rsidRPr="00A01719" w:rsidP="00A01719">
      <w:pPr>
        <w:pStyle w:val="ListBullet2"/>
      </w:pPr>
      <w:r w:rsidRPr="00A01719">
        <w:t>neoplasms</w:t>
      </w:r>
    </w:p>
    <w:p w:rsidR="00000000" w:rsidRPr="00A01719" w:rsidP="00A01719">
      <w:pPr>
        <w:pStyle w:val="ListBullet2"/>
      </w:pPr>
      <w:r w:rsidRPr="00A01719">
        <w:t>diseases of the blood and blood-formin</w:t>
      </w:r>
      <w:r w:rsidRPr="00A01719">
        <w:t>g organs and common disorders involving the immune mechanism</w:t>
      </w:r>
    </w:p>
    <w:p w:rsidR="00000000" w:rsidRPr="00A01719" w:rsidP="00A01719">
      <w:pPr>
        <w:pStyle w:val="ListBullet2"/>
      </w:pPr>
      <w:r w:rsidRPr="00A01719">
        <w:t>endocrine, nutritional and metabolic diseases</w:t>
      </w:r>
    </w:p>
    <w:p w:rsidR="00000000" w:rsidRPr="00A01719" w:rsidP="00A01719">
      <w:pPr>
        <w:pStyle w:val="ListBullet2"/>
      </w:pPr>
      <w:r w:rsidRPr="00A01719">
        <w:t>mental and behavioural disorders</w:t>
      </w:r>
    </w:p>
    <w:p w:rsidR="00000000" w:rsidRPr="00A01719" w:rsidP="00A01719">
      <w:pPr>
        <w:pStyle w:val="ListBullet2"/>
      </w:pPr>
      <w:r w:rsidRPr="00A01719">
        <w:t>diseases of the nervous system</w:t>
      </w:r>
    </w:p>
    <w:p w:rsidR="00000000" w:rsidRPr="00A01719" w:rsidP="00A01719">
      <w:pPr>
        <w:pStyle w:val="ListBullet2"/>
      </w:pPr>
      <w:r w:rsidRPr="00A01719">
        <w:t>diseases of the eye and adnexa</w:t>
      </w:r>
    </w:p>
    <w:p w:rsidR="00000000" w:rsidRPr="00A01719" w:rsidP="00A01719">
      <w:pPr>
        <w:pStyle w:val="ListBullet2"/>
      </w:pPr>
      <w:r w:rsidRPr="00A01719">
        <w:t>diseases of the ear and mastoid process</w:t>
      </w:r>
    </w:p>
    <w:p w:rsidR="00000000" w:rsidRPr="00A01719" w:rsidP="00A01719">
      <w:pPr>
        <w:pStyle w:val="ListBullet2"/>
      </w:pPr>
      <w:r w:rsidRPr="00A01719">
        <w:t>diseases of the circulatory system</w:t>
      </w:r>
    </w:p>
    <w:p w:rsidR="00000000" w:rsidRPr="00A01719" w:rsidP="00A01719">
      <w:pPr>
        <w:pStyle w:val="ListBullet2"/>
      </w:pPr>
      <w:r w:rsidRPr="00A01719">
        <w:t>diseases of the respiratory system</w:t>
      </w:r>
    </w:p>
    <w:p w:rsidR="00000000" w:rsidRPr="00A01719" w:rsidP="00A01719">
      <w:pPr>
        <w:pStyle w:val="ListBullet2"/>
      </w:pPr>
      <w:r w:rsidRPr="00A01719">
        <w:t>diseases of the digestive system</w:t>
      </w:r>
    </w:p>
    <w:p w:rsidR="00000000" w:rsidRPr="00A01719" w:rsidP="00A01719">
      <w:pPr>
        <w:pStyle w:val="ListBullet2"/>
      </w:pPr>
      <w:r w:rsidRPr="00A01719">
        <w:t>diseases of the skin and subcutaneous tissue</w:t>
      </w:r>
    </w:p>
    <w:p w:rsidR="00000000" w:rsidRPr="00A01719" w:rsidP="00A01719">
      <w:pPr>
        <w:pStyle w:val="ListBullet2"/>
      </w:pPr>
      <w:r w:rsidRPr="00A01719">
        <w:t>diseases of the musculoskeletal system and connective tissue</w:t>
      </w:r>
    </w:p>
    <w:p w:rsidR="00000000" w:rsidRPr="00A01719" w:rsidP="00A01719">
      <w:pPr>
        <w:pStyle w:val="ListBullet2"/>
      </w:pPr>
      <w:r w:rsidRPr="00A01719">
        <w:t>diseases of the genitourinary system</w:t>
      </w:r>
    </w:p>
    <w:p w:rsidR="00000000" w:rsidRPr="00A01719" w:rsidP="00A01719">
      <w:pPr>
        <w:pStyle w:val="ListBullet2"/>
      </w:pPr>
      <w:r w:rsidRPr="00A01719">
        <w:t>pregnancy,</w:t>
      </w:r>
      <w:r w:rsidRPr="00A01719">
        <w:t xml:space="preserve"> childbirth and the puerperium conditions originating in the perinatal period including congenital malformations, deformations and chromosomal abnormalities</w:t>
      </w:r>
    </w:p>
    <w:p w:rsidR="00000000" w:rsidRPr="00A01719" w:rsidP="00A01719">
      <w:pPr>
        <w:pStyle w:val="ListBullet2"/>
      </w:pPr>
      <w:r w:rsidRPr="00A01719">
        <w:t>symptoms, signs and abnormal clinical and laboratory findings, not elsewhere classified</w:t>
      </w:r>
    </w:p>
    <w:p w:rsidR="00000000" w:rsidRPr="00A01719" w:rsidP="00A01719">
      <w:pPr>
        <w:pStyle w:val="ListBullet2"/>
      </w:pPr>
      <w:r w:rsidRPr="00A01719">
        <w:t>injury, poi</w:t>
      </w:r>
      <w:r w:rsidRPr="00A01719">
        <w:t>soning and other causes of morbidity and mortality</w:t>
      </w:r>
    </w:p>
    <w:p w:rsidR="00000000" w:rsidRPr="00A01719" w:rsidP="00A01719">
      <w:pPr>
        <w:pStyle w:val="ListBullet"/>
      </w:pPr>
      <w:r w:rsidRPr="00A01719">
        <w:t>common surgical procedures, interventions and pharmacotherapy used to treat diseases and conditions of the human body system</w:t>
      </w:r>
    </w:p>
    <w:p w:rsidR="00000000" w:rsidRPr="00A01719" w:rsidP="00A01719">
      <w:pPr>
        <w:pStyle w:val="ListBullet"/>
      </w:pPr>
      <w:r w:rsidRPr="00A01719">
        <w:t>concepts underpinning human anatomy and physiology to enable accurate interpret</w:t>
      </w:r>
      <w:r w:rsidRPr="00A01719">
        <w:t xml:space="preserve">ation of clinical information including: </w:t>
      </w:r>
    </w:p>
    <w:p w:rsidR="00000000" w:rsidRPr="00A01719" w:rsidP="00A01719">
      <w:pPr>
        <w:pStyle w:val="ListBullet2"/>
      </w:pPr>
      <w:r w:rsidRPr="00A01719">
        <w:t>levels of structural organisation of body systems</w:t>
      </w:r>
    </w:p>
    <w:p w:rsidR="00000000" w:rsidRPr="00A01719" w:rsidP="00A01719">
      <w:pPr>
        <w:pStyle w:val="ListBullet2"/>
      </w:pPr>
      <w:r w:rsidRPr="00A01719">
        <w:t xml:space="preserve">human life processes </w:t>
      </w:r>
    </w:p>
    <w:p w:rsidR="00000000" w:rsidRPr="00A01719" w:rsidP="00A01719">
      <w:pPr>
        <w:pStyle w:val="ListBullet2"/>
      </w:pPr>
      <w:r w:rsidRPr="00A01719">
        <w:t>homeostasis and the relationship between homeostatic imbalance and disease</w:t>
      </w:r>
    </w:p>
    <w:p w:rsidR="00000000" w:rsidRPr="00A01719" w:rsidP="00A01719">
      <w:pPr>
        <w:pStyle w:val="ListBullet"/>
      </w:pPr>
      <w:r w:rsidRPr="00A01719">
        <w:t>medical references and resources u</w:t>
      </w:r>
      <w:r w:rsidRPr="00A01719">
        <w:t>sed for interpreting clinical information, including:</w:t>
      </w:r>
    </w:p>
    <w:p w:rsidR="00000000" w:rsidRPr="00A01719" w:rsidP="00A01719">
      <w:pPr>
        <w:pStyle w:val="ListBullet2"/>
      </w:pPr>
      <w:r w:rsidRPr="00A01719">
        <w:t>medical dictionary</w:t>
      </w:r>
    </w:p>
    <w:p w:rsidR="00000000" w:rsidRPr="00A01719" w:rsidP="00A01719">
      <w:pPr>
        <w:pStyle w:val="ListBullet2"/>
      </w:pPr>
      <w:r w:rsidRPr="00A01719">
        <w:t>drug handbook</w:t>
      </w:r>
    </w:p>
    <w:p w:rsidR="00000000" w:rsidRPr="00A01719" w:rsidP="00A01719">
      <w:pPr>
        <w:pStyle w:val="ListBullet2"/>
      </w:pPr>
      <w:r w:rsidRPr="00A01719">
        <w:t>organisational policies and procedures relevant to health care service.</w:t>
      </w:r>
    </w:p>
    <w:p w:rsidR="00000000" w:rsidRPr="00A01719" w:rsidP="00A01719">
      <w:pPr>
        <w:pStyle w:val="AllowPageBreak"/>
      </w:pPr>
    </w:p>
    <w:p w:rsidR="00000000" w:rsidRPr="00A01719" w:rsidP="00A01719">
      <w:pPr>
        <w:pStyle w:val="Heading1"/>
      </w:pPr>
      <w:bookmarkStart w:id="13" w:name="O_1200083"/>
      <w:bookmarkEnd w:id="13"/>
      <w:r w:rsidRPr="00A01719">
        <w:t>Assessment Conditions</w:t>
      </w:r>
    </w:p>
    <w:p w:rsidR="00000000" w:rsidRPr="00A01719" w:rsidP="00857BEF">
      <w:pPr>
        <w:pStyle w:val="BodyText"/>
      </w:pPr>
      <w:r w:rsidRPr="00A01719">
        <w:t>Skills must be demonstrated in the workplace or in a si</w:t>
      </w:r>
      <w:r w:rsidRPr="00A01719">
        <w:t>mulated environment that reflects workplace conditions.</w:t>
      </w:r>
    </w:p>
    <w:p w:rsidR="00000000" w:rsidRPr="00A01719" w:rsidP="00857BEF">
      <w:pPr>
        <w:pStyle w:val="BodyText"/>
      </w:pPr>
      <w:r w:rsidRPr="00A01719">
        <w:t>Assessment must ensure access to:</w:t>
      </w:r>
    </w:p>
    <w:p w:rsidR="00000000" w:rsidRPr="00A01719" w:rsidP="00A01719">
      <w:pPr>
        <w:pStyle w:val="ListBullet"/>
      </w:pPr>
      <w:r w:rsidRPr="00A01719">
        <w:t>suitable drug handbook</w:t>
      </w:r>
    </w:p>
    <w:p w:rsidR="00000000" w:rsidRPr="00A01719" w:rsidP="00A01719">
      <w:pPr>
        <w:pStyle w:val="ListBullet"/>
      </w:pPr>
      <w:r w:rsidRPr="00A01719">
        <w:t>reference materials, including an appropriate medical dictionary or other equivalent medical resource</w:t>
      </w:r>
    </w:p>
    <w:p w:rsidR="00000000" w:rsidRPr="00A01719" w:rsidP="00857BEF">
      <w:pPr>
        <w:pStyle w:val="BodyText"/>
      </w:pPr>
      <w:r w:rsidRPr="00A01719">
        <w:t>Assessors must satisfy the Standards for Registered Training Organisations’ requirements for assessors.</w:t>
      </w:r>
    </w:p>
    <w:p w:rsidR="00000000" w:rsidRPr="00A01719" w:rsidP="00A01719">
      <w:pPr>
        <w:pStyle w:val="Heading1"/>
      </w:pPr>
      <w:bookmarkStart w:id="14" w:name="O_1200097"/>
      <w:bookmarkEnd w:id="14"/>
      <w:r w:rsidRPr="00A01719">
        <w:t>Links</w:t>
      </w:r>
    </w:p>
    <w:p w:rsidR="00000000" w:rsidRPr="00A01719" w:rsidP="00857BEF">
      <w:pPr>
        <w:pStyle w:val="BodyText"/>
      </w:pPr>
      <w:r w:rsidRPr="00A017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60546">
        <w:rPr>
          <w:rStyle w:val="Hyperlink"/>
        </w:rPr>
        <w:t>https://vetnet.gov.au/Pages/TrainingDocs.aspx?q=ced1390f-48d9-4ab0-bd50-b015e5485705</w:t>
      </w:r>
      <w:r>
        <w:fldChar w:fldCharType="end"/>
      </w:r>
    </w:p>
    <w:p w:rsidR="00000000" w:rsidRPr="00A01719" w:rsidP="00A01719"/>
    <w:sectPr w:rsidSect="00A01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rsidRPr="00857BEF" w:rsidP="00857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EF" w:rsidP="00A01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BEF" w:rsidP="00A01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57BEF" w:rsidP="00A01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rsidP="00A01719">
    <w:pPr>
      <w:pStyle w:val="Footer"/>
      <w:framePr w:wrap="around"/>
    </w:pPr>
    <w:r>
      <w:fldChar w:fldCharType="begin"/>
    </w:r>
    <w:r>
      <w:instrText xml:space="preserve"> DOCPROPERTY  Subject  \* MERGEFORMAT </w:instrText>
    </w:r>
    <w:r>
      <w:fldChar w:fldCharType="separate"/>
    </w:r>
    <w:r w:rsidR="00857BEF">
      <w:t>Approved</w:t>
    </w:r>
    <w:r w:rsidR="00857BEF">
      <w:fldChar w:fldCharType="end"/>
    </w:r>
    <w:r>
      <w:tab/>
      <w:t xml:space="preserve">Page </w:t>
    </w:r>
    <w:r>
      <w:fldChar w:fldCharType="begin"/>
    </w:r>
    <w:r>
      <w:instrText xml:space="preserve"> PAGE  \* Arabic  \* MERGEFORMAT </w:instrText>
    </w:r>
    <w:r>
      <w:fldChar w:fldCharType="separate"/>
    </w:r>
    <w:r w:rsidR="00857B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BEF">
      <w:rPr>
        <w:noProof/>
      </w:rPr>
      <w:t>4</w:t>
    </w:r>
    <w:r>
      <w:rPr>
        <w:noProof/>
      </w:rPr>
      <w:fldChar w:fldCharType="end"/>
    </w:r>
  </w:p>
  <w:p w:rsidR="00A01719" w:rsidP="00A01719">
    <w:pPr>
      <w:pStyle w:val="Footer"/>
      <w:framePr w:wrap="around"/>
    </w:pPr>
    <w:r>
      <w:t xml:space="preserve">© Commonwealth of Australia, </w:t>
    </w:r>
    <w:r>
      <w:fldChar w:fldCharType="begin"/>
    </w:r>
    <w:r>
      <w:instrText xml:space="preserve"> DATE  \@ "yyyy"  \* MERGEFORMAT </w:instrText>
    </w:r>
    <w:r>
      <w:fldChar w:fldCharType="separate"/>
    </w:r>
    <w:r w:rsidR="00857BEF">
      <w:rPr>
        <w:noProof/>
      </w:rPr>
      <w:t>2025</w:t>
    </w:r>
    <w:r>
      <w:fldChar w:fldCharType="end"/>
    </w:r>
    <w:r>
      <w:tab/>
    </w:r>
    <w:r>
      <w:fldChar w:fldCharType="begin"/>
    </w:r>
    <w:r>
      <w:instrText xml:space="preserve"> DOCPROPERTY  Author  \* MERGEFORMAT </w:instrText>
    </w:r>
    <w:r>
      <w:fldChar w:fldCharType="separate"/>
    </w:r>
    <w:r w:rsidR="00857BEF">
      <w:t>HumanAbility</w:t>
    </w:r>
    <w:r w:rsidR="00857BEF">
      <w:fldChar w:fldCharType="end"/>
    </w:r>
  </w:p>
  <w:p w:rsidR="00A01719" w:rsidP="00A01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719" w:rsidRPr="00857BEF" w:rsidP="00857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EF" w:rsidRPr="002D2AF8" w:rsidP="00A01719">
    <w:pPr>
      <w:pStyle w:val="Header"/>
      <w:framePr w:wrap="around"/>
    </w:pPr>
    <w:r>
      <w:fldChar w:fldCharType="begin"/>
    </w:r>
    <w:r>
      <w:instrText xml:space="preserve"> TITLE   \* MERGEFORMAT </w:instrText>
    </w:r>
    <w:r>
      <w:fldChar w:fldCharType="separate"/>
    </w:r>
    <w:r>
      <w:t>HLTCCD004 Interpret clinical documentation using knowledge of anatomy and physiology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BEF" w:rsidP="00A01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19" w:rsidRPr="002D2AF8" w:rsidP="00A01719">
    <w:pPr>
      <w:pStyle w:val="Header"/>
      <w:framePr w:wrap="around"/>
    </w:pPr>
    <w:r>
      <w:fldChar w:fldCharType="begin"/>
    </w:r>
    <w:r>
      <w:instrText xml:space="preserve"> TITLE   \* MERGEFORMAT </w:instrText>
    </w:r>
    <w:r>
      <w:fldChar w:fldCharType="separate"/>
    </w:r>
    <w:r w:rsidR="00857BEF">
      <w:t>HLTCCD004 Interpret clinical documentation using knowledge of anatomy and physiology</w:t>
    </w:r>
    <w:r w:rsidR="00857BEF">
      <w:fldChar w:fldCharType="end"/>
    </w:r>
    <w:r>
      <w:tab/>
      <w:t xml:space="preserve">Date this document was generated: </w:t>
    </w:r>
    <w:r>
      <w:fldChar w:fldCharType="begin"/>
    </w:r>
    <w:r>
      <w:instrText xml:space="preserve"> CREATEDATE  \@ "d MMMM yyyy"  \* MERGEFORMAT </w:instrText>
    </w:r>
    <w:r>
      <w:fldChar w:fldCharType="separate"/>
    </w:r>
    <w:r w:rsidR="00857BEF">
      <w:rPr>
        <w:noProof/>
      </w:rPr>
      <w:t>2 March 2025</w:t>
    </w:r>
    <w:r>
      <w:fldChar w:fldCharType="end"/>
    </w:r>
  </w:p>
  <w:p w:rsidR="00A01719" w:rsidP="00A01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9CD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C0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844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719"/>
    <w:pPr>
      <w:spacing w:before="360" w:after="60"/>
      <w:outlineLvl w:val="0"/>
    </w:pPr>
    <w:rPr>
      <w:sz w:val="32"/>
    </w:rPr>
  </w:style>
  <w:style w:type="paragraph" w:styleId="Heading2">
    <w:name w:val="heading 2"/>
    <w:basedOn w:val="HeadingBase"/>
    <w:next w:val="BodyText"/>
    <w:link w:val="Heading2Char"/>
    <w:qFormat/>
    <w:rsid w:val="00A01719"/>
    <w:pPr>
      <w:keepLines/>
      <w:spacing w:before="240" w:after="120"/>
      <w:outlineLvl w:val="1"/>
    </w:pPr>
    <w:rPr>
      <w:sz w:val="28"/>
      <w:szCs w:val="40"/>
    </w:rPr>
  </w:style>
  <w:style w:type="paragraph" w:styleId="Heading3">
    <w:name w:val="heading 3"/>
    <w:basedOn w:val="HeadingBase"/>
    <w:next w:val="BodyText"/>
    <w:link w:val="Heading3Char"/>
    <w:qFormat/>
    <w:rsid w:val="00A01719"/>
    <w:pPr>
      <w:spacing w:before="180" w:after="120"/>
      <w:outlineLvl w:val="2"/>
    </w:pPr>
    <w:rPr>
      <w:spacing w:val="-10"/>
      <w:kern w:val="32"/>
    </w:rPr>
  </w:style>
  <w:style w:type="paragraph" w:styleId="Heading4">
    <w:name w:val="heading 4"/>
    <w:basedOn w:val="HeadingBase"/>
    <w:next w:val="BodyText"/>
    <w:link w:val="Heading4Char"/>
    <w:qFormat/>
    <w:rsid w:val="00A01719"/>
    <w:pPr>
      <w:spacing w:before="160" w:after="120"/>
      <w:outlineLvl w:val="3"/>
    </w:pPr>
    <w:rPr>
      <w:sz w:val="22"/>
    </w:rPr>
  </w:style>
  <w:style w:type="paragraph" w:styleId="Heading5">
    <w:name w:val="heading 5"/>
    <w:basedOn w:val="HeadingBase"/>
    <w:next w:val="Normal"/>
    <w:link w:val="Heading5Char"/>
    <w:qFormat/>
    <w:rsid w:val="00A01719"/>
    <w:pPr>
      <w:spacing w:before="80"/>
      <w:outlineLvl w:val="4"/>
    </w:pPr>
    <w:rPr>
      <w:color w:val="918585"/>
      <w:sz w:val="20"/>
    </w:rPr>
  </w:style>
  <w:style w:type="paragraph" w:styleId="Heading6">
    <w:name w:val="heading 6"/>
    <w:basedOn w:val="HeadingBase"/>
    <w:next w:val="Normal"/>
    <w:link w:val="Heading6Char"/>
    <w:qFormat/>
    <w:rsid w:val="00A01719"/>
    <w:pPr>
      <w:spacing w:before="60"/>
      <w:outlineLvl w:val="5"/>
    </w:pPr>
    <w:rPr>
      <w:color w:val="918585"/>
      <w:sz w:val="20"/>
    </w:rPr>
  </w:style>
  <w:style w:type="paragraph" w:styleId="Heading7">
    <w:name w:val="heading 7"/>
    <w:basedOn w:val="Normal"/>
    <w:next w:val="Normal"/>
    <w:link w:val="Heading7Char"/>
    <w:qFormat/>
    <w:rsid w:val="00A01719"/>
    <w:pPr>
      <w:ind w:left="720"/>
      <w:outlineLvl w:val="6"/>
    </w:pPr>
    <w:rPr>
      <w:i/>
    </w:rPr>
  </w:style>
  <w:style w:type="paragraph" w:styleId="Heading8">
    <w:name w:val="heading 8"/>
    <w:basedOn w:val="Normal"/>
    <w:next w:val="Normal"/>
    <w:link w:val="Heading8Char"/>
    <w:qFormat/>
    <w:rsid w:val="00A01719"/>
    <w:pPr>
      <w:ind w:left="720"/>
      <w:outlineLvl w:val="7"/>
    </w:pPr>
    <w:rPr>
      <w:i/>
    </w:rPr>
  </w:style>
  <w:style w:type="paragraph" w:styleId="Heading9">
    <w:name w:val="heading 9"/>
    <w:basedOn w:val="Normal"/>
    <w:next w:val="Normal"/>
    <w:link w:val="Heading9Char"/>
    <w:qFormat/>
    <w:rsid w:val="00A01719"/>
    <w:pPr>
      <w:ind w:left="720"/>
      <w:outlineLvl w:val="8"/>
    </w:pPr>
    <w:rPr>
      <w:i/>
    </w:rPr>
  </w:style>
  <w:style w:type="character" w:default="1" w:styleId="DefaultParagraphFont">
    <w:name w:val="Default Paragraph Font"/>
    <w:uiPriority w:val="1"/>
    <w:unhideWhenUsed/>
    <w:rsid w:val="00A01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719"/>
  </w:style>
  <w:style w:type="character" w:customStyle="1" w:styleId="Heading1Char">
    <w:name w:val="Heading 1 Char"/>
    <w:basedOn w:val="DefaultParagraphFont"/>
    <w:link w:val="Heading1"/>
    <w:rsid w:val="00A01719"/>
    <w:rPr>
      <w:rFonts w:ascii="Times New Roman" w:eastAsia="Times New Roman" w:hAnsi="Times New Roman" w:cs="Times New Roman"/>
      <w:b/>
      <w:sz w:val="32"/>
      <w:szCs w:val="20"/>
      <w:lang w:eastAsia="en-US"/>
    </w:rPr>
  </w:style>
  <w:style w:type="paragraph" w:styleId="BodyText">
    <w:name w:val="Body Text"/>
    <w:basedOn w:val="Normal"/>
    <w:link w:val="BodyTextChar"/>
    <w:rsid w:val="00A01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719"/>
    <w:rPr>
      <w:rFonts w:ascii="Times New Roman" w:eastAsia="Times New Roman" w:hAnsi="Times New Roman" w:cs="Times New Roman"/>
      <w:sz w:val="24"/>
      <w:lang w:eastAsia="en-US"/>
    </w:rPr>
  </w:style>
  <w:style w:type="paragraph" w:styleId="List">
    <w:name w:val="List"/>
    <w:basedOn w:val="BodyText"/>
    <w:next w:val="BodyText"/>
    <w:rsid w:val="00A01719"/>
    <w:pPr>
      <w:tabs>
        <w:tab w:val="left" w:pos="340"/>
      </w:tabs>
      <w:spacing w:before="60" w:after="60"/>
      <w:ind w:left="340" w:hanging="340"/>
    </w:pPr>
  </w:style>
  <w:style w:type="paragraph" w:styleId="ListBullet">
    <w:name w:val="List Bullet"/>
    <w:basedOn w:val="List"/>
    <w:rsid w:val="00A01719"/>
    <w:pPr>
      <w:numPr>
        <w:numId w:val="12"/>
      </w:numPr>
      <w:tabs>
        <w:tab w:val="clear" w:pos="340"/>
      </w:tabs>
      <w:spacing w:before="40" w:after="40"/>
    </w:pPr>
  </w:style>
  <w:style w:type="character" w:customStyle="1" w:styleId="SpecialBold">
    <w:name w:val="Special Bold"/>
    <w:basedOn w:val="DefaultParagraphFont"/>
    <w:rsid w:val="00A01719"/>
    <w:rPr>
      <w:b/>
      <w:spacing w:val="0"/>
    </w:rPr>
  </w:style>
  <w:style w:type="paragraph" w:styleId="ListBullet2">
    <w:name w:val="List Bullet 2"/>
    <w:basedOn w:val="List2"/>
    <w:rsid w:val="00A01719"/>
    <w:pPr>
      <w:numPr>
        <w:numId w:val="13"/>
      </w:numPr>
      <w:tabs>
        <w:tab w:val="clear" w:pos="680"/>
      </w:tabs>
    </w:pPr>
  </w:style>
  <w:style w:type="character" w:styleId="Emphasis">
    <w:name w:val="Emphasis"/>
    <w:basedOn w:val="DefaultParagraphFont"/>
    <w:qFormat/>
    <w:rsid w:val="00A01719"/>
    <w:rPr>
      <w:i/>
    </w:rPr>
  </w:style>
  <w:style w:type="paragraph" w:customStyle="1" w:styleId="SuperHeading">
    <w:name w:val="SuperHeading"/>
    <w:basedOn w:val="Normal"/>
    <w:rsid w:val="00A01719"/>
    <w:pPr>
      <w:spacing w:before="240" w:after="120"/>
      <w:outlineLvl w:val="0"/>
    </w:pPr>
    <w:rPr>
      <w:rFonts w:ascii="Times New Roman" w:hAnsi="Times New Roman"/>
      <w:b/>
      <w:sz w:val="32"/>
    </w:rPr>
  </w:style>
  <w:style w:type="paragraph" w:customStyle="1" w:styleId="AllowPageBreak">
    <w:name w:val="AllowPageBreak"/>
    <w:rsid w:val="00A01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1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719"/>
    <w:rPr>
      <w:rFonts w:ascii="Courier New" w:eastAsia="Times New Roman" w:hAnsi="Courier New" w:cs="Times New Roman"/>
      <w:i/>
      <w:szCs w:val="20"/>
      <w:lang w:eastAsia="en-US"/>
    </w:rPr>
  </w:style>
  <w:style w:type="paragraph" w:customStyle="1" w:styleId="HeadingBase">
    <w:name w:val="Heading Base"/>
    <w:rsid w:val="00A01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719"/>
    <w:pPr>
      <w:tabs>
        <w:tab w:val="right" w:leader="dot" w:pos="9072"/>
      </w:tabs>
      <w:ind w:left="567"/>
    </w:pPr>
    <w:rPr>
      <w:szCs w:val="22"/>
    </w:rPr>
  </w:style>
  <w:style w:type="paragraph" w:customStyle="1" w:styleId="TOCBase">
    <w:name w:val="TOC Base"/>
    <w:rsid w:val="00A01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719"/>
    <w:pPr>
      <w:tabs>
        <w:tab w:val="right" w:leader="dot" w:pos="9072"/>
      </w:tabs>
      <w:spacing w:before="40" w:after="40"/>
      <w:ind w:left="284"/>
    </w:pPr>
    <w:rPr>
      <w:rFonts w:ascii="Times New Roman" w:hAnsi="Times New Roman"/>
    </w:rPr>
  </w:style>
  <w:style w:type="paragraph" w:styleId="TOC1">
    <w:name w:val="toc 1"/>
    <w:basedOn w:val="TOCBase"/>
    <w:next w:val="Normal"/>
    <w:rsid w:val="00A01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719"/>
    <w:rPr>
      <w:rFonts w:ascii="Times New Roman" w:eastAsia="Times New Roman" w:hAnsi="Times New Roman" w:cs="Times New Roman"/>
      <w:sz w:val="16"/>
      <w:lang w:eastAsia="en-US"/>
    </w:rPr>
  </w:style>
  <w:style w:type="paragraph" w:styleId="Title">
    <w:name w:val="Title"/>
    <w:basedOn w:val="HeadingBase"/>
    <w:link w:val="TitleChar"/>
    <w:qFormat/>
    <w:rsid w:val="00A01719"/>
    <w:pPr>
      <w:spacing w:before="5040"/>
      <w:jc w:val="center"/>
    </w:pPr>
    <w:rPr>
      <w:sz w:val="48"/>
      <w:szCs w:val="72"/>
      <w:lang w:val="en-US"/>
    </w:rPr>
  </w:style>
  <w:style w:type="character" w:customStyle="1" w:styleId="TitleChar">
    <w:name w:val="Title Char"/>
    <w:basedOn w:val="DefaultParagraphFont"/>
    <w:link w:val="Title"/>
    <w:rsid w:val="00A01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719"/>
    <w:pPr>
      <w:tabs>
        <w:tab w:val="left" w:pos="3600"/>
        <w:tab w:val="left" w:pos="3958"/>
      </w:tabs>
    </w:pPr>
  </w:style>
  <w:style w:type="paragraph" w:customStyle="1" w:styleId="Note">
    <w:name w:val="Note"/>
    <w:basedOn w:val="BodyText"/>
    <w:rsid w:val="00A01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719"/>
    <w:pPr>
      <w:framePr w:wrap="auto" w:hAnchor="text" w:y="6049"/>
    </w:pPr>
    <w:rPr>
      <w:color w:val="000000"/>
      <w:sz w:val="40"/>
    </w:rPr>
  </w:style>
  <w:style w:type="paragraph" w:customStyle="1" w:styleId="TOCTitle">
    <w:name w:val="TOCTitle"/>
    <w:basedOn w:val="Heading1"/>
    <w:rsid w:val="00A01719"/>
    <w:pPr>
      <w:spacing w:after="240"/>
      <w:jc w:val="center"/>
      <w:outlineLvl w:val="9"/>
    </w:pPr>
    <w:rPr>
      <w:caps/>
    </w:rPr>
  </w:style>
  <w:style w:type="paragraph" w:customStyle="1" w:styleId="Version">
    <w:name w:val="Version"/>
    <w:rsid w:val="00A01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719"/>
    <w:pPr>
      <w:keepNext w:val="0"/>
      <w:tabs>
        <w:tab w:val="right" w:pos="4176"/>
      </w:tabs>
      <w:ind w:left="198" w:hanging="198"/>
    </w:pPr>
    <w:rPr>
      <w:rFonts w:ascii="Garamond" w:hAnsi="Garamond"/>
    </w:rPr>
  </w:style>
  <w:style w:type="paragraph" w:styleId="IndexHeading">
    <w:name w:val="index heading"/>
    <w:basedOn w:val="Normal"/>
    <w:next w:val="Index1"/>
    <w:semiHidden/>
    <w:rsid w:val="00A01719"/>
    <w:pPr>
      <w:spacing w:before="120" w:after="120"/>
    </w:pPr>
    <w:rPr>
      <w:rFonts w:ascii="Arial" w:hAnsi="Arial"/>
      <w:b/>
      <w:color w:val="918585"/>
      <w:sz w:val="24"/>
    </w:rPr>
  </w:style>
  <w:style w:type="paragraph" w:styleId="Header">
    <w:name w:val="header"/>
    <w:basedOn w:val="Normal"/>
    <w:link w:val="HeaderChar"/>
    <w:rsid w:val="00A01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719"/>
    <w:rPr>
      <w:rFonts w:ascii="Times New Roman" w:eastAsia="Times New Roman" w:hAnsi="Times New Roman" w:cs="Times New Roman"/>
      <w:sz w:val="16"/>
      <w:szCs w:val="20"/>
      <w:lang w:val="en-GB" w:eastAsia="en-US"/>
    </w:rPr>
  </w:style>
  <w:style w:type="paragraph" w:customStyle="1" w:styleId="Chapter">
    <w:name w:val="Chapter"/>
    <w:basedOn w:val="Normal"/>
    <w:rsid w:val="00A01719"/>
    <w:pPr>
      <w:spacing w:before="240"/>
    </w:pPr>
    <w:rPr>
      <w:rFonts w:ascii="Times New Roman" w:hAnsi="Times New Roman"/>
      <w:smallCaps/>
      <w:spacing w:val="80"/>
      <w:sz w:val="28"/>
    </w:rPr>
  </w:style>
  <w:style w:type="paragraph" w:customStyle="1" w:styleId="InChapter">
    <w:name w:val="InChapter"/>
    <w:basedOn w:val="Heading3"/>
    <w:rsid w:val="00A01719"/>
    <w:pPr>
      <w:spacing w:after="240"/>
      <w:outlineLvl w:val="9"/>
    </w:pPr>
    <w:rPr>
      <w:noProof/>
    </w:rPr>
  </w:style>
  <w:style w:type="paragraph" w:styleId="Index2">
    <w:name w:val="index 2"/>
    <w:basedOn w:val="Normal"/>
    <w:next w:val="Normal"/>
    <w:semiHidden/>
    <w:rsid w:val="00A01719"/>
    <w:pPr>
      <w:tabs>
        <w:tab w:val="right" w:pos="4176"/>
      </w:tabs>
      <w:ind w:left="568" w:hanging="284"/>
    </w:pPr>
    <w:rPr>
      <w:rFonts w:ascii="Garamond" w:hAnsi="Garamond"/>
    </w:rPr>
  </w:style>
  <w:style w:type="paragraph" w:customStyle="1" w:styleId="Byline">
    <w:name w:val="Byline"/>
    <w:rsid w:val="00A01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719"/>
    <w:pPr>
      <w:tabs>
        <w:tab w:val="clear" w:pos="3600"/>
        <w:tab w:val="clear" w:pos="3958"/>
      </w:tabs>
      <w:jc w:val="right"/>
    </w:pPr>
  </w:style>
  <w:style w:type="paragraph" w:styleId="Caption">
    <w:name w:val="caption"/>
    <w:basedOn w:val="BodyText"/>
    <w:next w:val="Normal"/>
    <w:qFormat/>
    <w:rsid w:val="00A01719"/>
    <w:pPr>
      <w:framePr w:w="2268" w:hSpace="181" w:vSpace="181" w:wrap="around" w:vAnchor="text" w:hAnchor="page" w:x="1135" w:y="285" w:anchorLock="1"/>
    </w:pPr>
    <w:rPr>
      <w:i/>
    </w:rPr>
  </w:style>
  <w:style w:type="paragraph" w:customStyle="1" w:styleId="MiniTOCTitle">
    <w:name w:val="MiniTOCTitle"/>
    <w:basedOn w:val="Heading4"/>
    <w:rsid w:val="00A01719"/>
    <w:pPr>
      <w:spacing w:before="240"/>
      <w:outlineLvl w:val="9"/>
    </w:pPr>
    <w:rPr>
      <w:noProof/>
      <w:sz w:val="24"/>
    </w:rPr>
  </w:style>
  <w:style w:type="paragraph" w:customStyle="1" w:styleId="MiniTOCItem">
    <w:name w:val="MiniTOCItem"/>
    <w:basedOn w:val="ListBullet"/>
    <w:rsid w:val="00A01719"/>
    <w:pPr>
      <w:numPr>
        <w:numId w:val="0"/>
      </w:numPr>
      <w:tabs>
        <w:tab w:val="right" w:leader="dot" w:pos="6521"/>
      </w:tabs>
      <w:spacing w:before="0" w:after="0"/>
    </w:pPr>
  </w:style>
  <w:style w:type="paragraph" w:customStyle="1" w:styleId="TOFTitle">
    <w:name w:val="TOFTitle"/>
    <w:basedOn w:val="TOCTitle"/>
    <w:rsid w:val="00A01719"/>
  </w:style>
  <w:style w:type="paragraph" w:styleId="TableofFigures">
    <w:name w:val="table of figures"/>
    <w:basedOn w:val="Normal"/>
    <w:next w:val="Normal"/>
    <w:semiHidden/>
    <w:rsid w:val="00A01719"/>
    <w:pPr>
      <w:tabs>
        <w:tab w:val="right" w:leader="dot" w:pos="9072"/>
      </w:tabs>
      <w:ind w:left="970" w:hanging="403"/>
    </w:pPr>
    <w:rPr>
      <w:rFonts w:ascii="Times New Roman" w:hAnsi="Times New Roman"/>
      <w:b/>
    </w:rPr>
  </w:style>
  <w:style w:type="paragraph" w:styleId="ListNumber">
    <w:name w:val="List Number"/>
    <w:basedOn w:val="List"/>
    <w:rsid w:val="00A01719"/>
    <w:pPr>
      <w:numPr>
        <w:numId w:val="15"/>
      </w:numPr>
      <w:tabs>
        <w:tab w:val="clear" w:pos="340"/>
      </w:tabs>
    </w:pPr>
  </w:style>
  <w:style w:type="character" w:customStyle="1" w:styleId="WingdingSymbols">
    <w:name w:val="Wingding Symbols"/>
    <w:rsid w:val="00A01719"/>
    <w:rPr>
      <w:rFonts w:ascii="Wingdings" w:hAnsi="Wingdings"/>
    </w:rPr>
  </w:style>
  <w:style w:type="paragraph" w:customStyle="1" w:styleId="TableHeading">
    <w:name w:val="Table Heading"/>
    <w:basedOn w:val="HeadingBase"/>
    <w:rsid w:val="00A01719"/>
    <w:pPr>
      <w:keepLines/>
      <w:pBdr>
        <w:bottom w:val="single" w:sz="6" w:space="1" w:color="918585"/>
      </w:pBdr>
      <w:spacing w:before="240"/>
    </w:pPr>
  </w:style>
  <w:style w:type="character" w:customStyle="1" w:styleId="HotSpot">
    <w:name w:val="HotSpot"/>
    <w:rsid w:val="00A01719"/>
    <w:rPr>
      <w:color w:val="0033CC"/>
      <w:u w:val="none"/>
    </w:rPr>
  </w:style>
  <w:style w:type="paragraph" w:customStyle="1" w:styleId="BodyTextRight">
    <w:name w:val="Body Text Right"/>
    <w:basedOn w:val="BodyText"/>
    <w:rsid w:val="00A01719"/>
    <w:pPr>
      <w:spacing w:before="0" w:after="0"/>
      <w:jc w:val="right"/>
    </w:pPr>
  </w:style>
  <w:style w:type="paragraph" w:styleId="Index3">
    <w:name w:val="index 3"/>
    <w:basedOn w:val="ListNumber2"/>
    <w:next w:val="Normal"/>
    <w:semiHidden/>
    <w:rsid w:val="00A01719"/>
    <w:pPr>
      <w:numPr>
        <w:numId w:val="0"/>
      </w:numPr>
      <w:tabs>
        <w:tab w:val="right" w:leader="dot" w:pos="4176"/>
      </w:tabs>
    </w:pPr>
  </w:style>
  <w:style w:type="paragraph" w:styleId="ListNumber2">
    <w:name w:val="List Number 2"/>
    <w:basedOn w:val="List2"/>
    <w:rsid w:val="00A01719"/>
    <w:pPr>
      <w:numPr>
        <w:numId w:val="10"/>
      </w:numPr>
      <w:tabs>
        <w:tab w:val="clear" w:pos="1060"/>
      </w:tabs>
    </w:pPr>
  </w:style>
  <w:style w:type="paragraph" w:customStyle="1" w:styleId="MarginNote">
    <w:name w:val="Margin Note"/>
    <w:basedOn w:val="BodyText"/>
    <w:rsid w:val="00A01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719"/>
    <w:rPr>
      <w:sz w:val="32"/>
    </w:rPr>
  </w:style>
  <w:style w:type="paragraph" w:customStyle="1" w:styleId="HeadingProcedure">
    <w:name w:val="Heading Procedure"/>
    <w:basedOn w:val="HeadingBase"/>
    <w:next w:val="Normal"/>
    <w:rsid w:val="00A01719"/>
    <w:pPr>
      <w:tabs>
        <w:tab w:val="left" w:pos="0"/>
      </w:tabs>
      <w:spacing w:before="120" w:after="60"/>
    </w:pPr>
    <w:rPr>
      <w:i/>
      <w:color w:val="918585"/>
      <w:sz w:val="22"/>
    </w:rPr>
  </w:style>
  <w:style w:type="paragraph" w:customStyle="1" w:styleId="TableBodyText">
    <w:name w:val="Table Body Text"/>
    <w:basedOn w:val="BodyText"/>
    <w:rsid w:val="00A01719"/>
    <w:pPr>
      <w:spacing w:before="60" w:after="60"/>
    </w:pPr>
  </w:style>
  <w:style w:type="paragraph" w:styleId="ListContinue">
    <w:name w:val="List Continue"/>
    <w:basedOn w:val="List"/>
    <w:rsid w:val="00A01719"/>
    <w:pPr>
      <w:ind w:firstLine="0"/>
    </w:pPr>
  </w:style>
  <w:style w:type="paragraph" w:customStyle="1" w:styleId="ListNote">
    <w:name w:val="List Note"/>
    <w:basedOn w:val="List"/>
    <w:rsid w:val="00A01719"/>
    <w:pPr>
      <w:pBdr>
        <w:top w:val="single" w:sz="6" w:space="2" w:color="918585"/>
        <w:bottom w:val="single" w:sz="6" w:space="2" w:color="918585"/>
      </w:pBdr>
      <w:tabs>
        <w:tab w:val="left" w:pos="1021"/>
      </w:tabs>
      <w:ind w:firstLine="0"/>
    </w:pPr>
  </w:style>
  <w:style w:type="paragraph" w:customStyle="1" w:styleId="Warning">
    <w:name w:val="Warning"/>
    <w:basedOn w:val="BodyText"/>
    <w:rsid w:val="00A01719"/>
    <w:pPr>
      <w:shd w:val="clear" w:color="auto" w:fill="D9D9D9"/>
      <w:tabs>
        <w:tab w:val="left" w:pos="992"/>
      </w:tabs>
      <w:ind w:left="119" w:right="119"/>
    </w:pPr>
    <w:rPr>
      <w:sz w:val="20"/>
    </w:rPr>
  </w:style>
  <w:style w:type="paragraph" w:customStyle="1" w:styleId="MarginIcons">
    <w:name w:val="Margin Icons"/>
    <w:basedOn w:val="BodyText"/>
    <w:rsid w:val="00A01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719"/>
    <w:rPr>
      <w:rFonts w:ascii="Courier New" w:hAnsi="Courier New"/>
    </w:rPr>
  </w:style>
  <w:style w:type="paragraph" w:customStyle="1" w:styleId="NoteBullet">
    <w:name w:val="Note Bullet"/>
    <w:basedOn w:val="Note"/>
    <w:rsid w:val="00A01719"/>
    <w:pPr>
      <w:tabs>
        <w:tab w:val="clear" w:pos="680"/>
      </w:tabs>
      <w:spacing w:before="60" w:after="60"/>
    </w:pPr>
  </w:style>
  <w:style w:type="paragraph" w:customStyle="1" w:styleId="SubHeading2">
    <w:name w:val="SubHeading2"/>
    <w:basedOn w:val="HeadingBase"/>
    <w:rsid w:val="00A01719"/>
    <w:pPr>
      <w:spacing w:before="240" w:after="60"/>
    </w:pPr>
    <w:rPr>
      <w:sz w:val="20"/>
    </w:rPr>
  </w:style>
  <w:style w:type="paragraph" w:customStyle="1" w:styleId="SubHeading1">
    <w:name w:val="SubHeading1"/>
    <w:basedOn w:val="HeadingBase"/>
    <w:rsid w:val="00A01719"/>
    <w:pPr>
      <w:spacing w:before="240" w:after="60"/>
    </w:pPr>
    <w:rPr>
      <w:color w:val="918585"/>
      <w:sz w:val="22"/>
    </w:rPr>
  </w:style>
  <w:style w:type="paragraph" w:customStyle="1" w:styleId="SideHeading">
    <w:name w:val="Side Heading"/>
    <w:basedOn w:val="HeadingBase"/>
    <w:rsid w:val="00A01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719"/>
    <w:pPr>
      <w:tabs>
        <w:tab w:val="num" w:pos="360"/>
      </w:tabs>
    </w:pPr>
  </w:style>
  <w:style w:type="paragraph" w:styleId="PlainText">
    <w:name w:val="Plain Text"/>
    <w:basedOn w:val="Normal"/>
    <w:link w:val="PlainTextChar"/>
    <w:rsid w:val="00A01719"/>
    <w:rPr>
      <w:sz w:val="20"/>
    </w:rPr>
  </w:style>
  <w:style w:type="character" w:customStyle="1" w:styleId="PlainTextChar">
    <w:name w:val="Plain Text Char"/>
    <w:basedOn w:val="DefaultParagraphFont"/>
    <w:link w:val="PlainText"/>
    <w:rsid w:val="00A01719"/>
    <w:rPr>
      <w:rFonts w:ascii="Courier New" w:eastAsia="Times New Roman" w:hAnsi="Courier New" w:cs="Times New Roman"/>
      <w:sz w:val="20"/>
      <w:szCs w:val="20"/>
      <w:lang w:eastAsia="en-US"/>
    </w:rPr>
  </w:style>
  <w:style w:type="character" w:customStyle="1" w:styleId="MenuOption">
    <w:name w:val="Menu Option"/>
    <w:basedOn w:val="DefaultParagraphFont"/>
    <w:rsid w:val="00A01719"/>
    <w:rPr>
      <w:b/>
      <w:smallCaps/>
    </w:rPr>
  </w:style>
  <w:style w:type="paragraph" w:customStyle="1" w:styleId="TableListNumber">
    <w:name w:val="Table List Number"/>
    <w:basedOn w:val="ListNumber"/>
    <w:rsid w:val="00A01719"/>
    <w:pPr>
      <w:numPr>
        <w:numId w:val="0"/>
      </w:numPr>
    </w:pPr>
  </w:style>
  <w:style w:type="paragraph" w:styleId="TOC4">
    <w:name w:val="toc 4"/>
    <w:basedOn w:val="TOCBase"/>
    <w:next w:val="Normal"/>
    <w:semiHidden/>
    <w:rsid w:val="00A01719"/>
    <w:pPr>
      <w:tabs>
        <w:tab w:val="right" w:leader="dot" w:pos="9071"/>
      </w:tabs>
      <w:ind w:left="1701"/>
    </w:pPr>
  </w:style>
  <w:style w:type="paragraph" w:customStyle="1" w:styleId="ListAlpha">
    <w:name w:val="List Alpha"/>
    <w:basedOn w:val="List"/>
    <w:rsid w:val="00A01719"/>
    <w:pPr>
      <w:numPr>
        <w:numId w:val="9"/>
      </w:numPr>
    </w:pPr>
  </w:style>
  <w:style w:type="paragraph" w:customStyle="1" w:styleId="ListAlpha2">
    <w:name w:val="List Alpha 2"/>
    <w:basedOn w:val="List2"/>
    <w:rsid w:val="00A01719"/>
    <w:pPr>
      <w:numPr>
        <w:numId w:val="8"/>
      </w:numPr>
    </w:pPr>
  </w:style>
  <w:style w:type="paragraph" w:styleId="List2">
    <w:name w:val="List 2"/>
    <w:basedOn w:val="BodyText"/>
    <w:rsid w:val="00A01719"/>
    <w:pPr>
      <w:tabs>
        <w:tab w:val="left" w:pos="680"/>
      </w:tabs>
      <w:spacing w:before="60" w:after="60"/>
      <w:ind w:left="680" w:hanging="340"/>
    </w:pPr>
  </w:style>
  <w:style w:type="paragraph" w:styleId="List3">
    <w:name w:val="List 3"/>
    <w:basedOn w:val="BodyText"/>
    <w:rsid w:val="00A01719"/>
    <w:pPr>
      <w:tabs>
        <w:tab w:val="left" w:pos="1021"/>
      </w:tabs>
      <w:spacing w:before="60" w:after="60"/>
      <w:ind w:left="1020" w:hanging="340"/>
    </w:pPr>
  </w:style>
  <w:style w:type="paragraph" w:styleId="List4">
    <w:name w:val="List 4"/>
    <w:basedOn w:val="BodyText"/>
    <w:rsid w:val="00A01719"/>
    <w:pPr>
      <w:tabs>
        <w:tab w:val="left" w:pos="1361"/>
      </w:tabs>
      <w:spacing w:before="60" w:after="60"/>
      <w:ind w:left="1361" w:hanging="340"/>
    </w:pPr>
  </w:style>
  <w:style w:type="paragraph" w:styleId="List5">
    <w:name w:val="List 5"/>
    <w:basedOn w:val="BodyText"/>
    <w:rsid w:val="00A01719"/>
    <w:pPr>
      <w:tabs>
        <w:tab w:val="left" w:pos="1701"/>
      </w:tabs>
      <w:spacing w:before="60" w:after="60"/>
      <w:ind w:left="1701" w:hanging="340"/>
    </w:pPr>
  </w:style>
  <w:style w:type="paragraph" w:styleId="ListBullet3">
    <w:name w:val="List Bullet 3"/>
    <w:basedOn w:val="List3"/>
    <w:rsid w:val="00A01719"/>
    <w:pPr>
      <w:numPr>
        <w:numId w:val="14"/>
      </w:numPr>
      <w:tabs>
        <w:tab w:val="clear" w:pos="1021"/>
      </w:tabs>
      <w:ind w:left="1037" w:hanging="357"/>
    </w:pPr>
  </w:style>
  <w:style w:type="paragraph" w:styleId="ListBullet4">
    <w:name w:val="List Bullet 4"/>
    <w:basedOn w:val="List4"/>
    <w:rsid w:val="00A01719"/>
    <w:pPr>
      <w:numPr>
        <w:numId w:val="3"/>
      </w:numPr>
      <w:tabs>
        <w:tab w:val="clear" w:pos="1361"/>
      </w:tabs>
    </w:pPr>
  </w:style>
  <w:style w:type="paragraph" w:styleId="ListBullet5">
    <w:name w:val="List Bullet 5"/>
    <w:basedOn w:val="List5"/>
    <w:rsid w:val="00A01719"/>
    <w:pPr>
      <w:numPr>
        <w:numId w:val="4"/>
      </w:numPr>
    </w:pPr>
  </w:style>
  <w:style w:type="paragraph" w:styleId="ListContinue2">
    <w:name w:val="List Continue 2"/>
    <w:basedOn w:val="List2"/>
    <w:rsid w:val="00A01719"/>
    <w:pPr>
      <w:ind w:firstLine="0"/>
    </w:pPr>
  </w:style>
  <w:style w:type="paragraph" w:styleId="ListContinue3">
    <w:name w:val="List Continue 3"/>
    <w:basedOn w:val="List3"/>
    <w:rsid w:val="00A01719"/>
    <w:pPr>
      <w:ind w:left="1021" w:firstLine="0"/>
    </w:pPr>
  </w:style>
  <w:style w:type="paragraph" w:styleId="ListContinue4">
    <w:name w:val="List Continue 4"/>
    <w:basedOn w:val="List4"/>
    <w:rsid w:val="00A01719"/>
    <w:pPr>
      <w:ind w:firstLine="0"/>
    </w:pPr>
  </w:style>
  <w:style w:type="paragraph" w:styleId="ListContinue5">
    <w:name w:val="List Continue 5"/>
    <w:basedOn w:val="List5"/>
    <w:rsid w:val="00A01719"/>
    <w:pPr>
      <w:ind w:firstLine="0"/>
    </w:pPr>
  </w:style>
  <w:style w:type="paragraph" w:styleId="ListNumber3">
    <w:name w:val="List Number 3"/>
    <w:basedOn w:val="List3"/>
    <w:rsid w:val="00A01719"/>
    <w:pPr>
      <w:numPr>
        <w:numId w:val="5"/>
      </w:numPr>
    </w:pPr>
  </w:style>
  <w:style w:type="paragraph" w:styleId="ListNumber4">
    <w:name w:val="List Number 4"/>
    <w:basedOn w:val="List4"/>
    <w:rsid w:val="00A01719"/>
    <w:pPr>
      <w:numPr>
        <w:numId w:val="6"/>
      </w:numPr>
    </w:pPr>
  </w:style>
  <w:style w:type="paragraph" w:styleId="ListNumber5">
    <w:name w:val="List Number 5"/>
    <w:basedOn w:val="List5"/>
    <w:rsid w:val="00A01719"/>
    <w:pPr>
      <w:numPr>
        <w:numId w:val="7"/>
      </w:numPr>
    </w:pPr>
  </w:style>
  <w:style w:type="paragraph" w:styleId="BlockText">
    <w:name w:val="Block Text"/>
    <w:basedOn w:val="Normal"/>
    <w:rsid w:val="00A01719"/>
    <w:pPr>
      <w:spacing w:after="120"/>
      <w:ind w:left="1440" w:right="1440"/>
    </w:pPr>
  </w:style>
  <w:style w:type="character" w:customStyle="1" w:styleId="Subscript">
    <w:name w:val="Subscript"/>
    <w:basedOn w:val="DefaultParagraphFont"/>
    <w:rsid w:val="00A01719"/>
    <w:rPr>
      <w:sz w:val="16"/>
      <w:vertAlign w:val="subscript"/>
    </w:rPr>
  </w:style>
  <w:style w:type="character" w:customStyle="1" w:styleId="Superscript">
    <w:name w:val="Superscript"/>
    <w:basedOn w:val="DefaultParagraphFont"/>
    <w:rsid w:val="00A01719"/>
    <w:rPr>
      <w:sz w:val="16"/>
      <w:vertAlign w:val="superscript"/>
    </w:rPr>
  </w:style>
  <w:style w:type="character" w:customStyle="1" w:styleId="Symbols">
    <w:name w:val="Symbols"/>
    <w:basedOn w:val="DefaultParagraphFont"/>
    <w:rsid w:val="00A01719"/>
    <w:rPr>
      <w:rFonts w:ascii="Symbol" w:hAnsi="Symbol"/>
    </w:rPr>
  </w:style>
  <w:style w:type="character" w:customStyle="1" w:styleId="MenuOptions">
    <w:name w:val="Menu Options"/>
    <w:basedOn w:val="DefaultParagraphFont"/>
    <w:rsid w:val="00A01719"/>
    <w:rPr>
      <w:rFonts w:ascii="Arial Narrow" w:hAnsi="Arial Narrow"/>
      <w:smallCaps/>
    </w:rPr>
  </w:style>
  <w:style w:type="character" w:customStyle="1" w:styleId="Buttons">
    <w:name w:val="Buttons"/>
    <w:basedOn w:val="DefaultParagraphFont"/>
    <w:rsid w:val="00A01719"/>
    <w:rPr>
      <w:b/>
    </w:rPr>
  </w:style>
  <w:style w:type="character" w:customStyle="1" w:styleId="Underlined">
    <w:name w:val="Underlined"/>
    <w:basedOn w:val="DefaultParagraphFont"/>
    <w:rsid w:val="00A01719"/>
    <w:rPr>
      <w:u w:val="single"/>
    </w:rPr>
  </w:style>
  <w:style w:type="paragraph" w:customStyle="1" w:styleId="TableBodyTextRight">
    <w:name w:val="Table Body Text Right"/>
    <w:basedOn w:val="TableBodyText"/>
    <w:rsid w:val="00A01719"/>
    <w:pPr>
      <w:widowControl w:val="0"/>
      <w:autoSpaceDE w:val="0"/>
      <w:autoSpaceDN w:val="0"/>
      <w:adjustRightInd w:val="0"/>
      <w:jc w:val="right"/>
    </w:pPr>
    <w:rPr>
      <w:rFonts w:cs="Arial"/>
      <w:szCs w:val="18"/>
    </w:rPr>
  </w:style>
  <w:style w:type="paragraph" w:customStyle="1" w:styleId="CopyrightText">
    <w:name w:val="Copyright Text"/>
    <w:basedOn w:val="BodyText"/>
    <w:rsid w:val="00A01719"/>
    <w:rPr>
      <w:sz w:val="18"/>
    </w:rPr>
  </w:style>
  <w:style w:type="paragraph" w:customStyle="1" w:styleId="BodySmallRight">
    <w:name w:val="Body Small Right"/>
    <w:basedOn w:val="BodyTextRight"/>
    <w:rsid w:val="00A01719"/>
    <w:rPr>
      <w:sz w:val="18"/>
      <w:szCs w:val="18"/>
    </w:rPr>
  </w:style>
  <w:style w:type="paragraph" w:customStyle="1" w:styleId="MarginEdition">
    <w:name w:val="Margin Edition"/>
    <w:basedOn w:val="MarginNote"/>
    <w:rsid w:val="00A01719"/>
    <w:pPr>
      <w:spacing w:before="0" w:after="0"/>
    </w:pPr>
    <w:rPr>
      <w:rFonts w:ascii="Times New Roman" w:hAnsi="Times New Roman"/>
      <w:color w:val="999999"/>
    </w:rPr>
  </w:style>
  <w:style w:type="paragraph" w:customStyle="1" w:styleId="Spacer">
    <w:name w:val="Spacer"/>
    <w:basedOn w:val="Normal"/>
    <w:rsid w:val="00A01719"/>
    <w:rPr>
      <w:sz w:val="2"/>
      <w:szCs w:val="2"/>
    </w:rPr>
  </w:style>
  <w:style w:type="character" w:customStyle="1" w:styleId="Small">
    <w:name w:val="Small"/>
    <w:basedOn w:val="DefaultParagraphFont"/>
    <w:rsid w:val="00A01719"/>
    <w:rPr>
      <w:sz w:val="16"/>
    </w:rPr>
  </w:style>
  <w:style w:type="paragraph" w:customStyle="1" w:styleId="WideTable">
    <w:name w:val="Wide Table"/>
    <w:basedOn w:val="Normal"/>
    <w:rsid w:val="00A01719"/>
    <w:pPr>
      <w:ind w:left="-1418"/>
    </w:pPr>
    <w:rPr>
      <w:sz w:val="2"/>
      <w:szCs w:val="2"/>
    </w:rPr>
  </w:style>
  <w:style w:type="character" w:styleId="PageNumber">
    <w:name w:val="page number"/>
    <w:basedOn w:val="DefaultParagraphFont"/>
    <w:rsid w:val="00A01719"/>
  </w:style>
  <w:style w:type="paragraph" w:styleId="Quote">
    <w:name w:val="Quote"/>
    <w:basedOn w:val="Heading1"/>
    <w:link w:val="QuoteChar"/>
    <w:qFormat/>
    <w:rsid w:val="00A01719"/>
    <w:rPr>
      <w:b w:val="0"/>
      <w:sz w:val="72"/>
      <w:szCs w:val="72"/>
      <w:lang w:val="en-NZ"/>
    </w:rPr>
  </w:style>
  <w:style w:type="character" w:customStyle="1" w:styleId="QuoteChar">
    <w:name w:val="Quote Char"/>
    <w:basedOn w:val="DefaultParagraphFont"/>
    <w:link w:val="Quote"/>
    <w:rsid w:val="00A01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719"/>
    <w:pPr>
      <w:pageBreakBefore/>
    </w:pPr>
  </w:style>
  <w:style w:type="paragraph" w:customStyle="1" w:styleId="Border">
    <w:name w:val="Border"/>
    <w:basedOn w:val="Normal"/>
    <w:qFormat/>
    <w:rsid w:val="00A01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719"/>
    <w:rPr>
      <w:b/>
      <w:bCs/>
      <w:i/>
      <w:iCs/>
      <w:color w:val="auto"/>
    </w:rPr>
  </w:style>
  <w:style w:type="paragraph" w:styleId="IntenseQuote">
    <w:name w:val="Intense Quote"/>
    <w:basedOn w:val="Normal"/>
    <w:next w:val="Normal"/>
    <w:link w:val="IntenseQuoteChar"/>
    <w:uiPriority w:val="30"/>
    <w:qFormat/>
    <w:rsid w:val="00A01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719"/>
    <w:rPr>
      <w:smallCaps/>
      <w:color w:val="auto"/>
      <w:u w:val="single"/>
    </w:rPr>
  </w:style>
  <w:style w:type="character" w:styleId="IntenseReference">
    <w:name w:val="Intense Reference"/>
    <w:basedOn w:val="DefaultParagraphFont"/>
    <w:uiPriority w:val="32"/>
    <w:qFormat/>
    <w:rsid w:val="00A01719"/>
    <w:rPr>
      <w:b/>
      <w:bCs/>
      <w:smallCaps/>
      <w:color w:val="auto"/>
      <w:spacing w:val="5"/>
      <w:u w:val="single"/>
    </w:rPr>
  </w:style>
  <w:style w:type="paragraph" w:customStyle="1" w:styleId="2ColumnHeading">
    <w:name w:val="2Column Heading"/>
    <w:basedOn w:val="BodyText"/>
    <w:qFormat/>
    <w:rsid w:val="00A01719"/>
    <w:pPr>
      <w:spacing w:after="60"/>
      <w:ind w:left="-2268"/>
    </w:pPr>
    <w:rPr>
      <w:b/>
    </w:rPr>
  </w:style>
  <w:style w:type="paragraph" w:customStyle="1" w:styleId="Heading1TOC">
    <w:name w:val="Heading1 TOC"/>
    <w:basedOn w:val="Normal"/>
    <w:qFormat/>
    <w:rsid w:val="00A01719"/>
    <w:pPr>
      <w:spacing w:before="240" w:after="120"/>
    </w:pPr>
    <w:rPr>
      <w:rFonts w:ascii="Times New Roman" w:hAnsi="Times New Roman"/>
      <w:b/>
      <w:sz w:val="32"/>
    </w:rPr>
  </w:style>
  <w:style w:type="paragraph" w:customStyle="1" w:styleId="Heading2TOC">
    <w:name w:val="Heading2 TOC"/>
    <w:basedOn w:val="Normal"/>
    <w:qFormat/>
    <w:rsid w:val="00A01719"/>
    <w:pPr>
      <w:spacing w:before="240" w:after="60"/>
    </w:pPr>
    <w:rPr>
      <w:rFonts w:ascii="Times New Roman" w:hAnsi="Times New Roman"/>
      <w:b/>
      <w:sz w:val="28"/>
    </w:rPr>
  </w:style>
  <w:style w:type="character" w:customStyle="1" w:styleId="Underline">
    <w:name w:val="Underline"/>
    <w:basedOn w:val="DefaultParagraphFont"/>
    <w:qFormat/>
    <w:rsid w:val="00A01719"/>
    <w:rPr>
      <w:u w:val="single"/>
    </w:rPr>
  </w:style>
  <w:style w:type="character" w:customStyle="1" w:styleId="BoldandItalics">
    <w:name w:val="Bold and Italics"/>
    <w:qFormat/>
    <w:rsid w:val="00A01719"/>
    <w:rPr>
      <w:b/>
      <w:i/>
      <w:u w:val="none"/>
    </w:rPr>
  </w:style>
  <w:style w:type="paragraph" w:styleId="BalloonText">
    <w:name w:val="Balloon Text"/>
    <w:basedOn w:val="Normal"/>
    <w:link w:val="BalloonTextChar"/>
    <w:rsid w:val="00A01719"/>
    <w:rPr>
      <w:rFonts w:ascii="Tahoma" w:hAnsi="Tahoma" w:cs="Tahoma"/>
      <w:sz w:val="16"/>
      <w:szCs w:val="16"/>
    </w:rPr>
  </w:style>
  <w:style w:type="character" w:customStyle="1" w:styleId="BalloonTextChar">
    <w:name w:val="Balloon Text Char"/>
    <w:basedOn w:val="DefaultParagraphFont"/>
    <w:link w:val="BalloonText"/>
    <w:rsid w:val="00A01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719"/>
    <w:rPr>
      <w:b/>
      <w:color w:val="660033"/>
      <w:spacing w:val="0"/>
    </w:rPr>
  </w:style>
  <w:style w:type="paragraph" w:customStyle="1" w:styleId="Nameditemlist">
    <w:name w:val="Named item list"/>
    <w:basedOn w:val="BodyText"/>
    <w:qFormat/>
    <w:rsid w:val="00A01719"/>
    <w:pPr>
      <w:tabs>
        <w:tab w:val="left" w:pos="2835"/>
      </w:tabs>
      <w:ind w:left="2835" w:hanging="2835"/>
    </w:pPr>
  </w:style>
  <w:style w:type="paragraph" w:customStyle="1" w:styleId="BodyTextnopadding">
    <w:name w:val="Body Text no padding"/>
    <w:basedOn w:val="BodyText"/>
    <w:qFormat/>
    <w:rsid w:val="00A01719"/>
    <w:pPr>
      <w:spacing w:before="0" w:after="0"/>
    </w:pPr>
  </w:style>
  <w:style w:type="paragraph" w:customStyle="1" w:styleId="BodyTextBold">
    <w:name w:val="Body Text Bold"/>
    <w:basedOn w:val="BodyText"/>
    <w:qFormat/>
    <w:rsid w:val="00A01719"/>
    <w:rPr>
      <w:b/>
    </w:rPr>
  </w:style>
  <w:style w:type="character" w:styleId="Hyperlink">
    <w:name w:val="Hyperlink"/>
    <w:basedOn w:val="DefaultParagraphFont"/>
    <w:uiPriority w:val="99"/>
    <w:unhideWhenUsed/>
    <w:rsid w:val="00857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6847</Characters>
  <Application>Microsoft Office Word</Application>
  <DocSecurity>0</DocSecurity>
  <Lines>201</Lines>
  <Paragraphs>138</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HLTCCD004 Interpret clinical documentation using knowledge of anatomy and physiology</dc:title>
  <dc:subject>Approved</dc:subject>
  <dc:creator>HumanAbility</dc:creator>
  <cp:keywords>Release: 2</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