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000F" w:rsidP="009000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HLTCCD004 Interpret clinical documentation using knowledge of anatomy and physiology</w:t>
      </w:r>
      <w:r>
        <w:fldChar w:fldCharType="end"/>
      </w:r>
    </w:p>
    <w:p w:rsidR="0090000F" w:rsidP="0090000F">
      <w:pPr>
        <w:pStyle w:val="Version"/>
        <w:sectPr w:rsidSect="004205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0535" w:rsidP="00420535">
      <w:pPr>
        <w:pStyle w:val="SuperHeading"/>
      </w:pPr>
      <w:r w:rsidRPr="00420535">
        <w:t>Assessment Requirements for HLTCCD004 Interpret clinical documentation using knowledge of anatomy and physiology</w:t>
      </w:r>
    </w:p>
    <w:p w:rsidR="00000000" w:rsidRPr="00420535" w:rsidP="00420535">
      <w:pPr>
        <w:pStyle w:val="Heading1"/>
      </w:pPr>
      <w:bookmarkStart w:id="1" w:name="O_1200086"/>
      <w:bookmarkEnd w:id="1"/>
      <w:r w:rsidRPr="0042053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42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0535" w:rsidP="00420535">
            <w:pPr>
              <w:pStyle w:val="BodyText"/>
            </w:pPr>
            <w:r w:rsidRPr="00420535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0535">
            <w:pPr>
              <w:pStyle w:val="BodyText"/>
              <w:rPr>
                <w:lang w:val="en-NZ"/>
              </w:rPr>
            </w:pPr>
            <w:r w:rsidRPr="00420535">
              <w:rPr>
                <w:rStyle w:val="SpecialBold"/>
              </w:rPr>
              <w:t>Comments</w:t>
            </w:r>
          </w:p>
        </w:tc>
      </w:tr>
      <w:tr w:rsidTr="0042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535">
            <w:pPr>
              <w:pStyle w:val="BodyText"/>
              <w:rPr>
                <w:lang w:val="en-NZ"/>
              </w:rPr>
            </w:pPr>
            <w:r w:rsidRPr="00420535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535" w:rsidP="00420535">
            <w:pPr>
              <w:pStyle w:val="BodyText"/>
            </w:pPr>
            <w:r w:rsidRPr="00420535">
              <w:t>Release 2 HLTCCD004 Interpret clinical documentation using knowledge of anatomy and physiology supersedes and is equivalent to Release 1 HLTCCD004 Interpret clinical documentation using knowledge of anatomy and physiology.</w:t>
            </w:r>
          </w:p>
          <w:p w:rsidR="00000000" w:rsidRPr="00420535" w:rsidP="00420535">
            <w:pPr>
              <w:pStyle w:val="BodyText"/>
            </w:pPr>
            <w:r w:rsidRPr="00420535">
              <w:t>Updated:</w:t>
            </w:r>
          </w:p>
          <w:p w:rsidR="00000000" w:rsidP="00420535">
            <w:pPr>
              <w:pStyle w:val="BodyText"/>
              <w:rPr>
                <w:lang w:val="en-NZ"/>
              </w:rPr>
            </w:pPr>
            <w:r w:rsidRPr="00420535">
              <w:t>Mapping details and mino</w:t>
            </w:r>
            <w:r w:rsidRPr="00420535">
              <w:t>r corrections</w:t>
            </w:r>
          </w:p>
        </w:tc>
      </w:tr>
      <w:tr w:rsidTr="004205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0535">
            <w:pPr>
              <w:pStyle w:val="BodyText"/>
              <w:rPr>
                <w:lang w:val="en-NZ"/>
              </w:rPr>
            </w:pPr>
            <w:r w:rsidRPr="00420535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0535" w:rsidP="00420535">
            <w:pPr>
              <w:pStyle w:val="BodyText"/>
            </w:pPr>
            <w:r w:rsidRPr="00420535">
              <w:t>HLTCCD004 Interpret clinical documentation using knowledge of anatomy and physiology no equivalent unit.</w:t>
            </w:r>
          </w:p>
        </w:tc>
      </w:tr>
    </w:tbl>
    <w:p w:rsidR="00000000" w:rsidRPr="00420535" w:rsidP="00420535">
      <w:pPr>
        <w:pStyle w:val="BodyText"/>
      </w:pPr>
    </w:p>
    <w:p w:rsidR="00000000" w:rsidRPr="00420535" w:rsidP="00420535">
      <w:pPr>
        <w:pStyle w:val="AllowPageBreak"/>
      </w:pPr>
    </w:p>
    <w:p w:rsidR="00000000" w:rsidRPr="00420535" w:rsidP="00420535">
      <w:pPr>
        <w:pStyle w:val="Heading1"/>
      </w:pPr>
      <w:bookmarkStart w:id="2" w:name="O_1200085"/>
      <w:bookmarkEnd w:id="2"/>
      <w:r w:rsidRPr="00420535">
        <w:t>Performance Evidence</w:t>
      </w:r>
    </w:p>
    <w:p w:rsidR="00000000" w:rsidRPr="00420535" w:rsidP="0090000F">
      <w:pPr>
        <w:pStyle w:val="BodyText"/>
      </w:pPr>
      <w:r w:rsidRPr="00420535">
        <w:t>Evidence of the ability to complete tasks outlined in elements and performance criteria of this unit in the context of the job role, and:</w:t>
      </w:r>
    </w:p>
    <w:p w:rsidR="00000000" w:rsidRPr="00420535" w:rsidP="00420535">
      <w:pPr>
        <w:pStyle w:val="ListBullet"/>
      </w:pPr>
      <w:r w:rsidRPr="00420535">
        <w:t>source and interpret clinical information on diseases and conditions affecting each of the body systems and specialit</w:t>
      </w:r>
      <w:r w:rsidRPr="00420535">
        <w:t>ies including:</w:t>
      </w:r>
    </w:p>
    <w:p w:rsidR="00000000" w:rsidRPr="00420535" w:rsidP="00420535">
      <w:pPr>
        <w:pStyle w:val="ListBullet2"/>
      </w:pPr>
      <w:r w:rsidRPr="00420535">
        <w:t>infectious and parasitic diseases</w:t>
      </w:r>
    </w:p>
    <w:p w:rsidR="00000000" w:rsidRPr="00420535" w:rsidP="00420535">
      <w:pPr>
        <w:pStyle w:val="ListBullet2"/>
      </w:pPr>
      <w:r w:rsidRPr="00420535">
        <w:t>neoplasms</w:t>
      </w:r>
    </w:p>
    <w:p w:rsidR="00000000" w:rsidRPr="00420535" w:rsidP="00420535">
      <w:pPr>
        <w:pStyle w:val="ListBullet2"/>
      </w:pPr>
      <w:r w:rsidRPr="00420535">
        <w:t>diseases of the blood and blood-forming organs and common disorders involving the immune mechanism</w:t>
      </w:r>
    </w:p>
    <w:p w:rsidR="00000000" w:rsidRPr="00420535" w:rsidP="00420535">
      <w:pPr>
        <w:pStyle w:val="ListBullet2"/>
      </w:pPr>
      <w:r w:rsidRPr="00420535">
        <w:t>endocrine, nutritional and metabolic diseases</w:t>
      </w:r>
    </w:p>
    <w:p w:rsidR="00000000" w:rsidRPr="00420535" w:rsidP="00420535">
      <w:pPr>
        <w:pStyle w:val="ListBullet2"/>
      </w:pPr>
      <w:r w:rsidRPr="00420535">
        <w:t>mental and behavioural disorders</w:t>
      </w:r>
    </w:p>
    <w:p w:rsidR="00000000" w:rsidRPr="00420535" w:rsidP="00420535">
      <w:pPr>
        <w:pStyle w:val="ListBullet2"/>
      </w:pPr>
      <w:r w:rsidRPr="00420535">
        <w:t>diseases of the ne</w:t>
      </w:r>
      <w:r w:rsidRPr="00420535">
        <w:t>rvous system</w:t>
      </w:r>
    </w:p>
    <w:p w:rsidR="00000000" w:rsidRPr="00420535" w:rsidP="00420535">
      <w:pPr>
        <w:pStyle w:val="ListBullet2"/>
      </w:pPr>
      <w:r w:rsidRPr="00420535">
        <w:t>diseases of the eye and adnexa</w:t>
      </w:r>
    </w:p>
    <w:p w:rsidR="00000000" w:rsidRPr="00420535" w:rsidP="00420535">
      <w:pPr>
        <w:pStyle w:val="ListBullet2"/>
      </w:pPr>
      <w:r w:rsidRPr="00420535">
        <w:t>diseases of the ear and mastoid process</w:t>
      </w:r>
    </w:p>
    <w:p w:rsidR="00000000" w:rsidRPr="00420535" w:rsidP="00420535">
      <w:pPr>
        <w:pStyle w:val="ListBullet2"/>
      </w:pPr>
      <w:r w:rsidRPr="00420535">
        <w:t>diseases of the circulatory system</w:t>
      </w:r>
    </w:p>
    <w:p w:rsidR="00000000" w:rsidRPr="00420535" w:rsidP="00420535">
      <w:pPr>
        <w:pStyle w:val="ListBullet2"/>
      </w:pPr>
      <w:r w:rsidRPr="00420535">
        <w:t>diseases of the respiratory system</w:t>
      </w:r>
    </w:p>
    <w:p w:rsidR="00000000" w:rsidRPr="00420535" w:rsidP="00420535">
      <w:pPr>
        <w:pStyle w:val="ListBullet2"/>
      </w:pPr>
      <w:r w:rsidRPr="00420535">
        <w:t>diseases of the digestive system</w:t>
      </w:r>
    </w:p>
    <w:p w:rsidR="00000000" w:rsidRPr="00420535" w:rsidP="00420535">
      <w:pPr>
        <w:pStyle w:val="ListBullet2"/>
      </w:pPr>
      <w:r w:rsidRPr="00420535">
        <w:t>diseases of the skin and subcutaneous tissue</w:t>
      </w:r>
    </w:p>
    <w:p w:rsidR="00000000" w:rsidRPr="00420535" w:rsidP="00420535">
      <w:pPr>
        <w:pStyle w:val="ListBullet2"/>
      </w:pPr>
      <w:r w:rsidRPr="00420535">
        <w:t>diseases of the musculoskeletal system and connective tissue</w:t>
      </w:r>
    </w:p>
    <w:p w:rsidR="00000000" w:rsidRPr="00420535" w:rsidP="00420535">
      <w:pPr>
        <w:pStyle w:val="ListBullet2"/>
      </w:pPr>
      <w:r w:rsidRPr="00420535">
        <w:t>diseases of the genitourinary system</w:t>
      </w:r>
    </w:p>
    <w:p w:rsidR="00000000" w:rsidRPr="00420535" w:rsidP="00420535">
      <w:pPr>
        <w:pStyle w:val="ListBullet2"/>
      </w:pPr>
      <w:r w:rsidRPr="00420535">
        <w:t>pregnancy, childbirth and the puerperium conditions originating in the perinatal period including congenital malformations, deformations and chromosomal abnor</w:t>
      </w:r>
      <w:r w:rsidRPr="00420535">
        <w:t>malities</w:t>
      </w:r>
    </w:p>
    <w:p w:rsidR="00000000" w:rsidRPr="00420535" w:rsidP="00420535">
      <w:pPr>
        <w:pStyle w:val="ListBullet2"/>
      </w:pPr>
      <w:r w:rsidRPr="00420535">
        <w:t>symptoms, signs and abnormal clinical and laboratory findings, not elsewhere classified</w:t>
      </w:r>
    </w:p>
    <w:p w:rsidR="00000000" w:rsidRPr="00420535" w:rsidP="00420535">
      <w:pPr>
        <w:pStyle w:val="ListBullet2"/>
      </w:pPr>
      <w:r w:rsidRPr="00420535">
        <w:t>injury, poisoning and other causes of morbidity and mortality</w:t>
      </w:r>
    </w:p>
    <w:p w:rsidR="00000000" w:rsidRPr="00420535" w:rsidP="00420535">
      <w:pPr>
        <w:pStyle w:val="ListBullet"/>
      </w:pPr>
      <w:r w:rsidRPr="00420535">
        <w:t>for each of the diseases or conditions above, interpret clinical information to:</w:t>
      </w:r>
    </w:p>
    <w:p w:rsidR="00000000" w:rsidRPr="00420535" w:rsidP="00420535">
      <w:pPr>
        <w:pStyle w:val="ListBullet2"/>
      </w:pPr>
      <w:r w:rsidRPr="00420535">
        <w:t>identify the i</w:t>
      </w:r>
      <w:r w:rsidRPr="00420535">
        <w:t>nvestigations or interventions used to diagnose the disease or condition</w:t>
      </w:r>
    </w:p>
    <w:p w:rsidR="00000000" w:rsidRPr="00420535" w:rsidP="00420535">
      <w:pPr>
        <w:pStyle w:val="ListBullet2"/>
      </w:pPr>
      <w:r w:rsidRPr="00420535">
        <w:t>identify medical and surgical interventions used to treat the disease or condition.</w:t>
      </w:r>
    </w:p>
    <w:p w:rsidR="00000000" w:rsidRPr="00420535" w:rsidP="00420535">
      <w:pPr>
        <w:pStyle w:val="AllowPageBreak"/>
      </w:pPr>
    </w:p>
    <w:p w:rsidR="00000000" w:rsidRPr="00420535" w:rsidP="00420535">
      <w:pPr>
        <w:pStyle w:val="Heading1"/>
      </w:pPr>
      <w:bookmarkStart w:id="3" w:name="O_1200084"/>
      <w:bookmarkEnd w:id="3"/>
      <w:r w:rsidRPr="00420535">
        <w:t>Knowledge Evidence</w:t>
      </w:r>
    </w:p>
    <w:p w:rsidR="00000000" w:rsidRPr="00420535" w:rsidP="0090000F">
      <w:pPr>
        <w:pStyle w:val="BodyText"/>
      </w:pPr>
      <w:r w:rsidRPr="00420535">
        <w:t>Demonstrated knowledge required to complete the tasks outline</w:t>
      </w:r>
      <w:r w:rsidRPr="00420535">
        <w:t>d in elements and performance criteria of this unit:</w:t>
      </w:r>
    </w:p>
    <w:p w:rsidR="00000000" w:rsidRPr="00420535" w:rsidP="00420535">
      <w:pPr>
        <w:pStyle w:val="ListBullet"/>
      </w:pPr>
      <w:r w:rsidRPr="00420535">
        <w:t xml:space="preserve">common diseases and conditions affecting each of the following body systems and specialities including: </w:t>
      </w:r>
    </w:p>
    <w:p w:rsidR="00000000" w:rsidRPr="00420535" w:rsidP="00420535">
      <w:pPr>
        <w:pStyle w:val="ListBullet2"/>
      </w:pPr>
      <w:r w:rsidRPr="00420535">
        <w:t>infectious and parasitic diseases</w:t>
      </w:r>
    </w:p>
    <w:p w:rsidR="00000000" w:rsidRPr="00420535" w:rsidP="00420535">
      <w:pPr>
        <w:pStyle w:val="ListBullet2"/>
      </w:pPr>
      <w:r w:rsidRPr="00420535">
        <w:t>neoplasms</w:t>
      </w:r>
    </w:p>
    <w:p w:rsidR="00000000" w:rsidRPr="00420535" w:rsidP="00420535">
      <w:pPr>
        <w:pStyle w:val="ListBullet2"/>
      </w:pPr>
      <w:r w:rsidRPr="00420535">
        <w:t>diseases of the blood and blood-forming organs and common disorders involving the immune mechanism</w:t>
      </w:r>
    </w:p>
    <w:p w:rsidR="00000000" w:rsidRPr="00420535" w:rsidP="00420535">
      <w:pPr>
        <w:pStyle w:val="ListBullet2"/>
      </w:pPr>
      <w:r w:rsidRPr="00420535">
        <w:t>endocrine, nutritional and metabolic diseases</w:t>
      </w:r>
    </w:p>
    <w:p w:rsidR="00000000" w:rsidRPr="00420535" w:rsidP="00420535">
      <w:pPr>
        <w:pStyle w:val="ListBullet2"/>
      </w:pPr>
      <w:r w:rsidRPr="00420535">
        <w:t>mental and behavioural disorders</w:t>
      </w:r>
    </w:p>
    <w:p w:rsidR="00000000" w:rsidRPr="00420535" w:rsidP="00420535">
      <w:pPr>
        <w:pStyle w:val="ListBullet2"/>
      </w:pPr>
      <w:r w:rsidRPr="00420535">
        <w:t>diseases of the nervous system</w:t>
      </w:r>
    </w:p>
    <w:p w:rsidR="00000000" w:rsidRPr="00420535" w:rsidP="00420535">
      <w:pPr>
        <w:pStyle w:val="ListBullet2"/>
      </w:pPr>
      <w:r w:rsidRPr="00420535">
        <w:t>diseases of the eye and adnexa</w:t>
      </w:r>
    </w:p>
    <w:p w:rsidR="00000000" w:rsidRPr="00420535" w:rsidP="00420535">
      <w:pPr>
        <w:pStyle w:val="ListBullet2"/>
      </w:pPr>
      <w:r w:rsidRPr="00420535">
        <w:t xml:space="preserve">diseases of the </w:t>
      </w:r>
      <w:r w:rsidRPr="00420535">
        <w:t>ear and mastoid process</w:t>
      </w:r>
    </w:p>
    <w:p w:rsidR="00000000" w:rsidRPr="00420535" w:rsidP="00420535">
      <w:pPr>
        <w:pStyle w:val="ListBullet2"/>
      </w:pPr>
      <w:r w:rsidRPr="00420535">
        <w:t>diseases of the circulatory system</w:t>
      </w:r>
    </w:p>
    <w:p w:rsidR="00000000" w:rsidRPr="00420535" w:rsidP="00420535">
      <w:pPr>
        <w:pStyle w:val="ListBullet2"/>
      </w:pPr>
      <w:r w:rsidRPr="00420535">
        <w:t>diseases of the respiratory system</w:t>
      </w:r>
    </w:p>
    <w:p w:rsidR="00000000" w:rsidRPr="00420535" w:rsidP="00420535">
      <w:pPr>
        <w:pStyle w:val="ListBullet2"/>
      </w:pPr>
      <w:r w:rsidRPr="00420535">
        <w:t>diseases of the digestive system</w:t>
      </w:r>
    </w:p>
    <w:p w:rsidR="00000000" w:rsidRPr="00420535" w:rsidP="00420535">
      <w:pPr>
        <w:pStyle w:val="ListBullet2"/>
      </w:pPr>
      <w:r w:rsidRPr="00420535">
        <w:t>diseases of the skin and subcutaneous tissue</w:t>
      </w:r>
    </w:p>
    <w:p w:rsidR="00000000" w:rsidRPr="00420535" w:rsidP="00420535">
      <w:pPr>
        <w:pStyle w:val="ListBullet2"/>
      </w:pPr>
      <w:r w:rsidRPr="00420535">
        <w:t>diseases of the musculoskeletal system and connective tissue</w:t>
      </w:r>
    </w:p>
    <w:p w:rsidR="00000000" w:rsidRPr="00420535" w:rsidP="00420535">
      <w:pPr>
        <w:pStyle w:val="ListBullet2"/>
      </w:pPr>
      <w:r w:rsidRPr="00420535">
        <w:t>diseases of the genitou</w:t>
      </w:r>
      <w:r w:rsidRPr="00420535">
        <w:t>rinary system</w:t>
      </w:r>
    </w:p>
    <w:p w:rsidR="00000000" w:rsidRPr="00420535" w:rsidP="00420535">
      <w:pPr>
        <w:pStyle w:val="ListBullet2"/>
      </w:pPr>
      <w:r w:rsidRPr="00420535">
        <w:t>pregnancy, childbirth and the puerperium conditions originating in the perinatal period including congenital malformations, deformations and chromosomal abnormalities</w:t>
      </w:r>
    </w:p>
    <w:p w:rsidR="00000000" w:rsidRPr="00420535" w:rsidP="00420535">
      <w:pPr>
        <w:pStyle w:val="ListBullet2"/>
      </w:pPr>
      <w:r w:rsidRPr="00420535">
        <w:t>symptoms, signs and abnormal clinical and laboratory findings, not elsewhere classified</w:t>
      </w:r>
    </w:p>
    <w:p w:rsidR="00000000" w:rsidRPr="00420535" w:rsidP="00420535">
      <w:pPr>
        <w:pStyle w:val="ListBullet2"/>
      </w:pPr>
      <w:r w:rsidRPr="00420535">
        <w:t>injury, poisoning and other causes of morbidity and mortality</w:t>
      </w:r>
    </w:p>
    <w:p w:rsidR="00000000" w:rsidRPr="00420535" w:rsidP="00420535">
      <w:pPr>
        <w:pStyle w:val="ListBullet"/>
      </w:pPr>
      <w:r w:rsidRPr="00420535">
        <w:t>common surgical procedures, interventions and pharmacotherapy used to treat diseases and conditions of th</w:t>
      </w:r>
      <w:r w:rsidRPr="00420535">
        <w:t>e human body system</w:t>
      </w:r>
    </w:p>
    <w:p w:rsidR="00000000" w:rsidRPr="00420535" w:rsidP="00420535">
      <w:pPr>
        <w:pStyle w:val="ListBullet"/>
      </w:pPr>
      <w:r w:rsidRPr="00420535">
        <w:t xml:space="preserve">concepts underpinning human anatomy and physiology to enable accurate interpretation of clinical information including: </w:t>
      </w:r>
    </w:p>
    <w:p w:rsidR="00000000" w:rsidRPr="00420535" w:rsidP="00420535">
      <w:pPr>
        <w:pStyle w:val="ListBullet2"/>
      </w:pPr>
      <w:r w:rsidRPr="00420535">
        <w:t>levels of structural organisation of body systems</w:t>
      </w:r>
    </w:p>
    <w:p w:rsidR="00000000" w:rsidRPr="00420535" w:rsidP="00420535">
      <w:pPr>
        <w:pStyle w:val="ListBullet2"/>
      </w:pPr>
      <w:r w:rsidRPr="00420535">
        <w:t xml:space="preserve">human life processes </w:t>
      </w:r>
    </w:p>
    <w:p w:rsidR="00000000" w:rsidRPr="00420535" w:rsidP="00420535">
      <w:pPr>
        <w:pStyle w:val="ListBullet2"/>
      </w:pPr>
      <w:r w:rsidRPr="00420535">
        <w:t>homeostasis and the relationship between h</w:t>
      </w:r>
      <w:r w:rsidRPr="00420535">
        <w:t>omeostatic imbalance and disease</w:t>
      </w:r>
    </w:p>
    <w:p w:rsidR="00000000" w:rsidRPr="00420535" w:rsidP="00420535">
      <w:pPr>
        <w:pStyle w:val="ListBullet"/>
      </w:pPr>
      <w:r w:rsidRPr="00420535">
        <w:t>medical references and resources used for interpreting clinical information, including:</w:t>
      </w:r>
    </w:p>
    <w:p w:rsidR="00000000" w:rsidRPr="00420535" w:rsidP="00420535">
      <w:pPr>
        <w:pStyle w:val="ListBullet2"/>
      </w:pPr>
      <w:r w:rsidRPr="00420535">
        <w:t>medical dictionary</w:t>
      </w:r>
    </w:p>
    <w:p w:rsidR="00000000" w:rsidRPr="00420535" w:rsidP="00420535">
      <w:pPr>
        <w:pStyle w:val="ListBullet2"/>
      </w:pPr>
      <w:r w:rsidRPr="00420535">
        <w:t>drug handbook</w:t>
      </w:r>
    </w:p>
    <w:p w:rsidR="00000000" w:rsidRPr="00420535" w:rsidP="00420535">
      <w:pPr>
        <w:pStyle w:val="ListBullet2"/>
      </w:pPr>
      <w:r w:rsidRPr="00420535">
        <w:t>organisational policies and procedures relevant to health care service.</w:t>
      </w:r>
    </w:p>
    <w:p w:rsidR="00000000" w:rsidRPr="00420535" w:rsidP="00420535">
      <w:pPr>
        <w:pStyle w:val="AllowPageBreak"/>
      </w:pPr>
    </w:p>
    <w:p w:rsidR="00000000" w:rsidRPr="00420535" w:rsidP="00420535">
      <w:pPr>
        <w:pStyle w:val="Heading1"/>
      </w:pPr>
      <w:bookmarkStart w:id="4" w:name="O_1200083"/>
      <w:bookmarkEnd w:id="4"/>
      <w:r w:rsidRPr="00420535">
        <w:t>Assessmen</w:t>
      </w:r>
      <w:r w:rsidRPr="00420535">
        <w:t>t Conditions</w:t>
      </w:r>
    </w:p>
    <w:p w:rsidR="00000000" w:rsidRPr="00420535" w:rsidP="0090000F">
      <w:pPr>
        <w:pStyle w:val="BodyText"/>
      </w:pPr>
      <w:r w:rsidRPr="00420535">
        <w:t>Skills must be demonstrated in the workplace or in a simulated environment that reflects workplace conditions.</w:t>
      </w:r>
    </w:p>
    <w:p w:rsidR="00000000" w:rsidRPr="00420535" w:rsidP="0090000F">
      <w:pPr>
        <w:pStyle w:val="BodyText"/>
      </w:pPr>
      <w:r w:rsidRPr="00420535">
        <w:t>Assessment must ensure access to:</w:t>
      </w:r>
    </w:p>
    <w:p w:rsidR="00000000" w:rsidRPr="00420535" w:rsidP="00420535">
      <w:pPr>
        <w:pStyle w:val="ListBullet"/>
      </w:pPr>
      <w:r w:rsidRPr="00420535">
        <w:t>suitable drug handbook</w:t>
      </w:r>
    </w:p>
    <w:p w:rsidR="00000000" w:rsidRPr="00420535" w:rsidP="00420535">
      <w:pPr>
        <w:pStyle w:val="ListBullet"/>
      </w:pPr>
      <w:r w:rsidRPr="00420535">
        <w:t>reference materials, including an appropriate medical dictionary or other equivalent medical resource</w:t>
      </w:r>
    </w:p>
    <w:p w:rsidR="00000000" w:rsidRPr="00420535" w:rsidP="0090000F">
      <w:pPr>
        <w:pStyle w:val="BodyText"/>
      </w:pPr>
      <w:r w:rsidRPr="00420535">
        <w:t>Assessors must satisfy the Standards for Registered Training Organisations’ requirements for assessors.</w:t>
      </w:r>
    </w:p>
    <w:p w:rsidR="00000000" w:rsidRPr="00420535" w:rsidP="00420535">
      <w:pPr>
        <w:pStyle w:val="Heading1"/>
      </w:pPr>
      <w:bookmarkStart w:id="5" w:name="O_1200097"/>
      <w:bookmarkEnd w:id="5"/>
      <w:r w:rsidRPr="00420535">
        <w:t>Links</w:t>
      </w:r>
    </w:p>
    <w:p w:rsidR="00000000" w:rsidRPr="00420535" w:rsidP="0090000F">
      <w:pPr>
        <w:pStyle w:val="BodyText"/>
      </w:pPr>
      <w:r w:rsidRPr="00420535">
        <w:t>Companion Volume implemen</w:t>
      </w:r>
      <w:r w:rsidRPr="00420535">
        <w:t xml:space="preserve">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25F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20535" w:rsidP="00420535"/>
    <w:sectPr w:rsidSect="004205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35" w:rsidRPr="0090000F" w:rsidP="009000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0F" w:rsidP="004205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000F" w:rsidP="004205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000F" w:rsidP="004205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0535" w:rsidRPr="0090000F" w:rsidP="009000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5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0F" w:rsidRPr="002D2AF8" w:rsidP="004205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HLTCCD004 Interpret clinical documentation using knowledge of anatomy and physiology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000F" w:rsidP="004205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A6F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CC30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E04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5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05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05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05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05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05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05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05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05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05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05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0535"/>
  </w:style>
  <w:style w:type="character" w:customStyle="1" w:styleId="Heading1Char">
    <w:name w:val="Heading 1 Char"/>
    <w:basedOn w:val="DefaultParagraphFont"/>
    <w:link w:val="Heading1"/>
    <w:rsid w:val="004205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05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05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05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0535"/>
    <w:rPr>
      <w:b/>
      <w:spacing w:val="0"/>
    </w:rPr>
  </w:style>
  <w:style w:type="paragraph" w:styleId="ListBullet2">
    <w:name w:val="List Bullet 2"/>
    <w:basedOn w:val="List2"/>
    <w:rsid w:val="004205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05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05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05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05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05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0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05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0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05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05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05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05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05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05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05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05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05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05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05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05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05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05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05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05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05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05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05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05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05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05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05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05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05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05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0535"/>
    <w:rPr>
      <w:i/>
    </w:rPr>
  </w:style>
  <w:style w:type="paragraph" w:styleId="Caption">
    <w:name w:val="caption"/>
    <w:basedOn w:val="BodyText"/>
    <w:next w:val="Normal"/>
    <w:qFormat/>
    <w:rsid w:val="004205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05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05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0535"/>
  </w:style>
  <w:style w:type="paragraph" w:styleId="TableofFigures">
    <w:name w:val="table of figures"/>
    <w:basedOn w:val="Normal"/>
    <w:next w:val="Normal"/>
    <w:semiHidden/>
    <w:rsid w:val="004205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05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0535"/>
    <w:rPr>
      <w:rFonts w:ascii="Wingdings" w:hAnsi="Wingdings"/>
    </w:rPr>
  </w:style>
  <w:style w:type="paragraph" w:customStyle="1" w:styleId="TableHeading">
    <w:name w:val="Table Heading"/>
    <w:basedOn w:val="HeadingBase"/>
    <w:rsid w:val="004205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0535"/>
    <w:rPr>
      <w:color w:val="0033CC"/>
      <w:u w:val="none"/>
    </w:rPr>
  </w:style>
  <w:style w:type="paragraph" w:customStyle="1" w:styleId="BodyTextRight">
    <w:name w:val="Body Text Right"/>
    <w:basedOn w:val="BodyText"/>
    <w:rsid w:val="004205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05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05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05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05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05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0535"/>
    <w:rPr>
      <w:sz w:val="32"/>
    </w:rPr>
  </w:style>
  <w:style w:type="paragraph" w:customStyle="1" w:styleId="HeadingProcedure">
    <w:name w:val="Heading Procedure"/>
    <w:basedOn w:val="HeadingBase"/>
    <w:next w:val="Normal"/>
    <w:rsid w:val="004205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0535"/>
    <w:pPr>
      <w:spacing w:before="60" w:after="60"/>
    </w:pPr>
  </w:style>
  <w:style w:type="paragraph" w:styleId="ListContinue">
    <w:name w:val="List Continue"/>
    <w:basedOn w:val="List"/>
    <w:rsid w:val="00420535"/>
    <w:pPr>
      <w:ind w:firstLine="0"/>
    </w:pPr>
  </w:style>
  <w:style w:type="paragraph" w:customStyle="1" w:styleId="ListNote">
    <w:name w:val="List Note"/>
    <w:basedOn w:val="List"/>
    <w:rsid w:val="004205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05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05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0535"/>
    <w:rPr>
      <w:rFonts w:ascii="Courier New" w:hAnsi="Courier New"/>
    </w:rPr>
  </w:style>
  <w:style w:type="paragraph" w:customStyle="1" w:styleId="NoteBullet">
    <w:name w:val="Note Bullet"/>
    <w:basedOn w:val="Note"/>
    <w:rsid w:val="004205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05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05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05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05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05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05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0535"/>
    <w:rPr>
      <w:b/>
      <w:smallCaps/>
    </w:rPr>
  </w:style>
  <w:style w:type="paragraph" w:customStyle="1" w:styleId="TableListNumber">
    <w:name w:val="Table List Number"/>
    <w:basedOn w:val="ListNumber"/>
    <w:rsid w:val="004205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05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0535"/>
    <w:pPr>
      <w:numPr>
        <w:numId w:val="9"/>
      </w:numPr>
    </w:pPr>
  </w:style>
  <w:style w:type="paragraph" w:customStyle="1" w:styleId="ListAlpha2">
    <w:name w:val="List Alpha 2"/>
    <w:basedOn w:val="List2"/>
    <w:rsid w:val="00420535"/>
    <w:pPr>
      <w:numPr>
        <w:numId w:val="8"/>
      </w:numPr>
    </w:pPr>
  </w:style>
  <w:style w:type="paragraph" w:styleId="List2">
    <w:name w:val="List 2"/>
    <w:basedOn w:val="BodyText"/>
    <w:rsid w:val="004205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05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05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05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05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05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0535"/>
    <w:pPr>
      <w:numPr>
        <w:numId w:val="4"/>
      </w:numPr>
    </w:pPr>
  </w:style>
  <w:style w:type="paragraph" w:styleId="ListContinue2">
    <w:name w:val="List Continue 2"/>
    <w:basedOn w:val="List2"/>
    <w:rsid w:val="00420535"/>
    <w:pPr>
      <w:ind w:firstLine="0"/>
    </w:pPr>
  </w:style>
  <w:style w:type="paragraph" w:styleId="ListContinue3">
    <w:name w:val="List Continue 3"/>
    <w:basedOn w:val="List3"/>
    <w:rsid w:val="00420535"/>
    <w:pPr>
      <w:ind w:left="1021" w:firstLine="0"/>
    </w:pPr>
  </w:style>
  <w:style w:type="paragraph" w:styleId="ListContinue4">
    <w:name w:val="List Continue 4"/>
    <w:basedOn w:val="List4"/>
    <w:rsid w:val="00420535"/>
    <w:pPr>
      <w:ind w:firstLine="0"/>
    </w:pPr>
  </w:style>
  <w:style w:type="paragraph" w:styleId="ListContinue5">
    <w:name w:val="List Continue 5"/>
    <w:basedOn w:val="List5"/>
    <w:rsid w:val="00420535"/>
    <w:pPr>
      <w:ind w:firstLine="0"/>
    </w:pPr>
  </w:style>
  <w:style w:type="paragraph" w:styleId="ListNumber3">
    <w:name w:val="List Number 3"/>
    <w:basedOn w:val="List3"/>
    <w:rsid w:val="00420535"/>
    <w:pPr>
      <w:numPr>
        <w:numId w:val="5"/>
      </w:numPr>
    </w:pPr>
  </w:style>
  <w:style w:type="paragraph" w:styleId="ListNumber4">
    <w:name w:val="List Number 4"/>
    <w:basedOn w:val="List4"/>
    <w:rsid w:val="00420535"/>
    <w:pPr>
      <w:numPr>
        <w:numId w:val="6"/>
      </w:numPr>
    </w:pPr>
  </w:style>
  <w:style w:type="paragraph" w:styleId="ListNumber5">
    <w:name w:val="List Number 5"/>
    <w:basedOn w:val="List5"/>
    <w:rsid w:val="00420535"/>
    <w:pPr>
      <w:numPr>
        <w:numId w:val="7"/>
      </w:numPr>
    </w:pPr>
  </w:style>
  <w:style w:type="paragraph" w:styleId="BlockText">
    <w:name w:val="Block Text"/>
    <w:basedOn w:val="Normal"/>
    <w:rsid w:val="004205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05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0535"/>
    <w:rPr>
      <w:sz w:val="16"/>
      <w:vertAlign w:val="superscript"/>
    </w:rPr>
  </w:style>
  <w:style w:type="character" w:customStyle="1" w:styleId="Symbols">
    <w:name w:val="Symbols"/>
    <w:basedOn w:val="DefaultParagraphFont"/>
    <w:rsid w:val="00420535"/>
    <w:rPr>
      <w:rFonts w:ascii="Symbol" w:hAnsi="Symbol"/>
    </w:rPr>
  </w:style>
  <w:style w:type="character" w:customStyle="1" w:styleId="MenuOptions">
    <w:name w:val="Menu Options"/>
    <w:basedOn w:val="DefaultParagraphFont"/>
    <w:rsid w:val="004205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0535"/>
    <w:rPr>
      <w:b/>
    </w:rPr>
  </w:style>
  <w:style w:type="character" w:customStyle="1" w:styleId="Underlined">
    <w:name w:val="Underlined"/>
    <w:basedOn w:val="DefaultParagraphFont"/>
    <w:rsid w:val="00420535"/>
    <w:rPr>
      <w:u w:val="single"/>
    </w:rPr>
  </w:style>
  <w:style w:type="paragraph" w:customStyle="1" w:styleId="TableBodyTextRight">
    <w:name w:val="Table Body Text Right"/>
    <w:basedOn w:val="TableBodyText"/>
    <w:rsid w:val="004205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0535"/>
    <w:rPr>
      <w:sz w:val="18"/>
    </w:rPr>
  </w:style>
  <w:style w:type="paragraph" w:customStyle="1" w:styleId="BodySmallRight">
    <w:name w:val="Body Small Right"/>
    <w:basedOn w:val="BodyTextRight"/>
    <w:rsid w:val="00420535"/>
    <w:rPr>
      <w:sz w:val="18"/>
      <w:szCs w:val="18"/>
    </w:rPr>
  </w:style>
  <w:style w:type="paragraph" w:customStyle="1" w:styleId="MarginEdition">
    <w:name w:val="Margin Edition"/>
    <w:basedOn w:val="MarginNote"/>
    <w:rsid w:val="004205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0535"/>
    <w:rPr>
      <w:sz w:val="2"/>
      <w:szCs w:val="2"/>
    </w:rPr>
  </w:style>
  <w:style w:type="character" w:customStyle="1" w:styleId="Small">
    <w:name w:val="Small"/>
    <w:basedOn w:val="DefaultParagraphFont"/>
    <w:rsid w:val="00420535"/>
    <w:rPr>
      <w:sz w:val="16"/>
    </w:rPr>
  </w:style>
  <w:style w:type="paragraph" w:customStyle="1" w:styleId="WideTable">
    <w:name w:val="Wide Table"/>
    <w:basedOn w:val="Normal"/>
    <w:rsid w:val="004205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0535"/>
  </w:style>
  <w:style w:type="paragraph" w:styleId="Quote">
    <w:name w:val="Quote"/>
    <w:basedOn w:val="Heading1"/>
    <w:link w:val="QuoteChar"/>
    <w:qFormat/>
    <w:rsid w:val="004205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05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0535"/>
    <w:pPr>
      <w:pageBreakBefore/>
    </w:pPr>
  </w:style>
  <w:style w:type="paragraph" w:customStyle="1" w:styleId="Border">
    <w:name w:val="Border"/>
    <w:basedOn w:val="Normal"/>
    <w:qFormat/>
    <w:rsid w:val="004205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05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5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5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05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05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05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05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05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0535"/>
    <w:rPr>
      <w:u w:val="single"/>
    </w:rPr>
  </w:style>
  <w:style w:type="character" w:customStyle="1" w:styleId="BoldandItalics">
    <w:name w:val="Bold and Italics"/>
    <w:qFormat/>
    <w:rsid w:val="00420535"/>
    <w:rPr>
      <w:b/>
      <w:i/>
      <w:u w:val="none"/>
    </w:rPr>
  </w:style>
  <w:style w:type="paragraph" w:styleId="BalloonText">
    <w:name w:val="Balloon Text"/>
    <w:basedOn w:val="Normal"/>
    <w:link w:val="BalloonTextChar"/>
    <w:rsid w:val="004205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05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05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05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05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05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0535"/>
    <w:pPr>
      <w:spacing w:before="0" w:after="0"/>
    </w:pPr>
  </w:style>
  <w:style w:type="paragraph" w:customStyle="1" w:styleId="BodyTextBold">
    <w:name w:val="Body Text Bold"/>
    <w:basedOn w:val="BodyText"/>
    <w:qFormat/>
    <w:rsid w:val="00420535"/>
    <w:rPr>
      <w:b/>
    </w:rPr>
  </w:style>
  <w:style w:type="character" w:styleId="Hyperlink">
    <w:name w:val="Hyperlink"/>
    <w:basedOn w:val="DefaultParagraphFont"/>
    <w:uiPriority w:val="99"/>
    <w:unhideWhenUsed/>
    <w:rsid w:val="009000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3952</Characters>
  <Application>Microsoft Office Word</Application>
  <DocSecurity>0</DocSecurity>
  <Lines>104</Lines>
  <Paragraphs>84</Paragraphs>
  <ScaleCrop>false</ScaleCrop>
  <Company>Author-it Software Corporation Ltd.</Company>
  <LinksUpToDate>false</LinksUpToDate>
  <CharactersWithSpaces>4453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HLTCCD004 Interpret clinical documentation using knowledge of anatomy and physiology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