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379" w:rsidP="005B3379">
      <w:pPr>
        <w:pStyle w:val="Title"/>
      </w:pPr>
      <w:r>
        <w:fldChar w:fldCharType="begin"/>
      </w:r>
      <w:r>
        <w:instrText xml:space="preserve"> TITLE   \* MERGEFORMAT </w:instrText>
      </w:r>
      <w:r>
        <w:fldChar w:fldCharType="separate"/>
      </w:r>
      <w:r>
        <w:t>HLTCCD001 Apply an understanding of the health care system to clinical coding practice</w:t>
      </w:r>
      <w:r>
        <w:fldChar w:fldCharType="end"/>
      </w:r>
    </w:p>
    <w:p w:rsidR="005B3379" w:rsidP="005B3379">
      <w:pPr>
        <w:pStyle w:val="Version"/>
        <w:sectPr w:rsidSect="002A3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39C2" w:rsidP="002A39C2">
      <w:pPr>
        <w:pStyle w:val="SuperHeading"/>
      </w:pPr>
      <w:r w:rsidRPr="002A39C2">
        <w:t>HLTCCD001 Apply an understanding of the health care system to clinical coding practice</w:t>
      </w:r>
    </w:p>
    <w:p w:rsidR="00000000" w:rsidRPr="002A39C2" w:rsidP="002A39C2">
      <w:pPr>
        <w:pStyle w:val="Heading1"/>
      </w:pPr>
      <w:bookmarkStart w:id="1" w:name="O_1200180"/>
      <w:bookmarkEnd w:id="1"/>
      <w:r w:rsidRPr="002A39C2">
        <w:t>Modification History</w:t>
      </w:r>
    </w:p>
    <w:tbl>
      <w:tblPr>
        <w:tblW w:w="0" w:type="auto"/>
        <w:tblLayout w:type="fixed"/>
        <w:tblCellMar>
          <w:left w:w="62" w:type="dxa"/>
          <w:right w:w="62" w:type="dxa"/>
        </w:tblCellMar>
        <w:tblLook w:val="0000"/>
      </w:tblPr>
      <w:tblGrid>
        <w:gridCol w:w="3050"/>
        <w:gridCol w:w="6074"/>
      </w:tblGrid>
      <w:tr w:rsidTr="002A39C2">
        <w:tblPrEx>
          <w:tblW w:w="0" w:type="auto"/>
          <w:tblLayout w:type="fixed"/>
          <w:tblCellMar>
            <w:left w:w="62" w:type="dxa"/>
            <w:right w:w="62" w:type="dxa"/>
          </w:tblCellMar>
          <w:tblLook w:val="0000"/>
        </w:tblPrEx>
        <w:tc>
          <w:tcPr>
            <w:tcW w:w="305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A39C2" w:rsidP="002A39C2">
            <w:pPr>
              <w:pStyle w:val="BodyTextBold"/>
            </w:pPr>
            <w:r w:rsidRPr="002A39C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A39C2">
            <w:pPr>
              <w:pStyle w:val="BodyTextBold"/>
              <w:rPr>
                <w:lang w:val="en-NZ"/>
              </w:rPr>
            </w:pPr>
            <w:r w:rsidRPr="002A39C2">
              <w:rPr>
                <w:rStyle w:val="SpecialBold"/>
              </w:rPr>
              <w:t>Comments</w:t>
            </w:r>
          </w:p>
        </w:tc>
      </w:tr>
      <w:tr w:rsidTr="002A39C2">
        <w:tblPrEx>
          <w:tblW w:w="0" w:type="auto"/>
          <w:tblLayout w:type="fixed"/>
          <w:tblCellMar>
            <w:left w:w="62" w:type="dxa"/>
            <w:right w:w="62" w:type="dxa"/>
          </w:tblCellMar>
          <w:tblLook w:val="0000"/>
        </w:tblPrEx>
        <w:tc>
          <w:tcPr>
            <w:tcW w:w="305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39C2">
            <w:pPr>
              <w:pStyle w:val="BodyText"/>
              <w:rPr>
                <w:lang w:val="en-NZ"/>
              </w:rPr>
            </w:pPr>
            <w:r w:rsidRPr="002A39C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39C2" w:rsidP="002A39C2">
            <w:pPr>
              <w:pStyle w:val="BodyText"/>
            </w:pPr>
            <w:r w:rsidRPr="002A39C2">
              <w:t>Release 2 HLTCCD001 Apply an understanding of the health care system to clinical coding practice supersedes and is equivalent to Release 1 HLTCCD001 Apply an understanding of the health care system to clinical coding practice.</w:t>
            </w:r>
          </w:p>
          <w:p w:rsidR="00000000" w:rsidRPr="002A39C2" w:rsidP="002A39C2">
            <w:pPr>
              <w:pStyle w:val="BodyText"/>
            </w:pPr>
            <w:r w:rsidRPr="002A39C2">
              <w:t>Updated:</w:t>
            </w:r>
          </w:p>
          <w:p w:rsidR="00000000" w:rsidP="002A39C2">
            <w:pPr>
              <w:pStyle w:val="BodyText"/>
              <w:rPr>
                <w:lang w:val="en-NZ"/>
              </w:rPr>
            </w:pPr>
            <w:r w:rsidRPr="002A39C2">
              <w:t xml:space="preserve">Mapping details and </w:t>
            </w:r>
            <w:r w:rsidRPr="002A39C2">
              <w:t>minor corrections.</w:t>
            </w:r>
          </w:p>
        </w:tc>
      </w:tr>
      <w:tr w:rsidTr="002A39C2">
        <w:tblPrEx>
          <w:tblW w:w="0" w:type="auto"/>
          <w:tblLayout w:type="fixed"/>
          <w:tblCellMar>
            <w:left w:w="62" w:type="dxa"/>
            <w:right w:w="62" w:type="dxa"/>
          </w:tblCellMar>
          <w:tblLook w:val="0000"/>
        </w:tblPrEx>
        <w:tc>
          <w:tcPr>
            <w:tcW w:w="305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39C2">
            <w:pPr>
              <w:pStyle w:val="BodyText"/>
              <w:rPr>
                <w:lang w:val="en-NZ"/>
              </w:rPr>
            </w:pPr>
            <w:r w:rsidRPr="002A39C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39C2" w:rsidP="002A39C2">
            <w:pPr>
              <w:pStyle w:val="BodyText"/>
            </w:pPr>
            <w:r w:rsidRPr="002A39C2">
              <w:t>HLTCCD001 Apply an understanding of the health care system to clinical coding practice no equivalent unit.</w:t>
            </w:r>
          </w:p>
        </w:tc>
      </w:tr>
    </w:tbl>
    <w:p w:rsidR="005B3379" w:rsidP="002A39C2">
      <w:pPr>
        <w:pStyle w:val="BodyText"/>
      </w:pPr>
    </w:p>
    <w:p w:rsidR="005B3379" w:rsidP="002A39C2">
      <w:pPr>
        <w:pStyle w:val="BodyText"/>
      </w:pPr>
    </w:p>
    <w:p w:rsidR="00000000" w:rsidRPr="002A39C2" w:rsidP="002A39C2">
      <w:pPr>
        <w:pStyle w:val="Heading1"/>
      </w:pPr>
      <w:bookmarkStart w:id="2" w:name="O_1200179"/>
      <w:bookmarkEnd w:id="2"/>
      <w:r w:rsidRPr="002A39C2">
        <w:t>Application</w:t>
      </w:r>
    </w:p>
    <w:p w:rsidR="00000000" w:rsidRPr="002A39C2" w:rsidP="005B3379">
      <w:pPr>
        <w:pStyle w:val="BodyText"/>
      </w:pPr>
      <w:r w:rsidRPr="002A39C2">
        <w:t>This unit describes the performance outcomes, skills and knowledge required to apply an understanding of the health care system to clinical coding job roles. It includes applying an understanding of the regulatory and legislative frameworks, health care fu</w:t>
      </w:r>
      <w:r w:rsidRPr="002A39C2">
        <w:t xml:space="preserve">nding mechanisms and the structure of the health care system to inform clinical coding practices. </w:t>
      </w:r>
    </w:p>
    <w:p w:rsidR="00000000" w:rsidRPr="002A39C2" w:rsidP="005B3379">
      <w:pPr>
        <w:pStyle w:val="BodyText"/>
      </w:pPr>
      <w:r w:rsidRPr="002A39C2">
        <w:t>This unit applies to clinical coders who are responsible for interpreting and extracting patient clinical information for the purposes of clinical coding. Wo</w:t>
      </w:r>
      <w:r w:rsidRPr="002A39C2">
        <w:t>rk may be performed as an individual and as part of a team under limited supervision.</w:t>
      </w:r>
    </w:p>
    <w:p w:rsidR="00000000" w:rsidRPr="002A39C2" w:rsidP="005B3379">
      <w:pPr>
        <w:pStyle w:val="BodyText"/>
      </w:pPr>
      <w:r w:rsidRPr="002A39C2">
        <w:t>The skills in this unit must be applied in accordance with Commonwealth and State/Territory legislation, Australian standards and industry codes of practice.</w:t>
      </w:r>
    </w:p>
    <w:p w:rsidR="00000000" w:rsidRPr="002A39C2" w:rsidP="005B3379">
      <w:pPr>
        <w:pStyle w:val="BodyText"/>
      </w:pPr>
      <w:r w:rsidRPr="002A39C2">
        <w:t>No occupatio</w:t>
      </w:r>
      <w:r w:rsidRPr="002A39C2">
        <w:t>nal licensing, certification or specific legislative requirements apply to this unit at the time of publication.</w:t>
      </w:r>
    </w:p>
    <w:p w:rsidR="00000000" w:rsidRPr="002A39C2" w:rsidP="002A39C2">
      <w:pPr>
        <w:pStyle w:val="Heading1"/>
      </w:pPr>
      <w:bookmarkStart w:id="3" w:name="O_1200178"/>
      <w:bookmarkEnd w:id="3"/>
      <w:r w:rsidRPr="002A39C2">
        <w:t>Pre-requisite Unit</w:t>
      </w:r>
    </w:p>
    <w:p w:rsidR="00000000" w:rsidRPr="002A39C2" w:rsidP="005B3379">
      <w:pPr>
        <w:pStyle w:val="BodyText"/>
      </w:pPr>
      <w:r w:rsidRPr="002A39C2">
        <w:t>Nil</w:t>
      </w:r>
    </w:p>
    <w:p w:rsidR="00000000" w:rsidRPr="002A39C2" w:rsidP="002A39C2">
      <w:pPr>
        <w:pStyle w:val="Heading1"/>
      </w:pPr>
      <w:bookmarkStart w:id="4" w:name="O_1200177"/>
      <w:bookmarkEnd w:id="4"/>
      <w:r w:rsidRPr="002A39C2">
        <w:t>Competency Field</w:t>
      </w:r>
    </w:p>
    <w:p w:rsidR="005B3379" w:rsidP="005B3379">
      <w:pPr>
        <w:pStyle w:val="BodyText"/>
      </w:pPr>
      <w:r w:rsidRPr="002A39C2">
        <w:t>Clinical Coding</w:t>
      </w:r>
    </w:p>
    <w:p w:rsidR="00000000" w:rsidRPr="002A39C2" w:rsidP="002A39C2">
      <w:pPr>
        <w:pStyle w:val="Heading1"/>
      </w:pPr>
      <w:bookmarkStart w:id="5" w:name="O_1200176"/>
      <w:bookmarkEnd w:id="5"/>
      <w:r w:rsidRPr="002A39C2">
        <w:t>Unit Sector</w:t>
      </w:r>
    </w:p>
    <w:p w:rsidR="005B3379" w:rsidP="005B3379">
      <w:pPr>
        <w:pStyle w:val="BodyText"/>
      </w:pPr>
      <w:r w:rsidRPr="002A39C2">
        <w:t>Health Administra</w:t>
      </w:r>
      <w:r w:rsidRPr="002A39C2">
        <w:t>tion</w:t>
      </w:r>
    </w:p>
    <w:p w:rsidR="00000000" w:rsidRPr="002A39C2" w:rsidP="002A39C2">
      <w:pPr>
        <w:pStyle w:val="Heading1"/>
      </w:pPr>
      <w:bookmarkStart w:id="6" w:name="O_1200175"/>
      <w:bookmarkEnd w:id="6"/>
      <w:r w:rsidRPr="002A39C2">
        <w:t>Elements and Performance Criteria</w:t>
      </w:r>
    </w:p>
    <w:tbl>
      <w:tblPr>
        <w:tblW w:w="0" w:type="auto"/>
        <w:tblCellMar>
          <w:left w:w="62" w:type="dxa"/>
          <w:right w:w="62" w:type="dxa"/>
        </w:tblCellMar>
        <w:tblLook w:val="0000"/>
      </w:tblPr>
      <w:tblGrid>
        <w:gridCol w:w="2557"/>
        <w:gridCol w:w="6639"/>
      </w:tblGrid>
      <w:tr w:rsidTr="005B3379">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2A39C2" w:rsidP="002A39C2">
            <w:pPr>
              <w:pStyle w:val="BodyText"/>
            </w:pPr>
            <w:r w:rsidRPr="002A39C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A39C2">
            <w:pPr>
              <w:pStyle w:val="BodyText"/>
              <w:rPr>
                <w:lang w:val="en-NZ"/>
              </w:rPr>
            </w:pPr>
            <w:r w:rsidRPr="002A39C2">
              <w:rPr>
                <w:rStyle w:val="SpecialBold"/>
              </w:rPr>
              <w:t>PERFORMANCE</w:t>
            </w:r>
            <w:r w:rsidRPr="002A39C2">
              <w:t xml:space="preserve"> </w:t>
            </w:r>
            <w:r w:rsidRPr="002A39C2">
              <w:rPr>
                <w:rStyle w:val="SpecialBold"/>
              </w:rPr>
              <w:t>CRITERIA</w:t>
            </w:r>
          </w:p>
        </w:tc>
      </w:tr>
      <w:tr w:rsidTr="005B3379">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2A39C2" w:rsidP="002A39C2">
            <w:pPr>
              <w:pStyle w:val="BodyText"/>
            </w:pPr>
            <w:r w:rsidRPr="002A39C2">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A39C2">
            <w:pPr>
              <w:pStyle w:val="BodyText"/>
              <w:rPr>
                <w:lang w:val="en-NZ"/>
              </w:rPr>
            </w:pPr>
            <w:r w:rsidRPr="002A39C2">
              <w:rPr>
                <w:rStyle w:val="Emphasis"/>
              </w:rPr>
              <w:t>Performance criteria describe the performance needed to demonstrate achievement of the element.</w:t>
            </w:r>
          </w:p>
        </w:tc>
      </w:tr>
      <w:tr w:rsidTr="005B3379">
        <w:tblPrEx>
          <w:tblW w:w="0" w:type="auto"/>
          <w:tblCellMar>
            <w:left w:w="62" w:type="dxa"/>
            <w:right w:w="62" w:type="dxa"/>
          </w:tblCellMar>
          <w:tblLook w:val="0000"/>
        </w:tblPrEx>
        <w:trPr>
          <w:trHeight w:val="325"/>
        </w:trPr>
        <w:tc>
          <w:tcPr>
            <w:tcW w:w="0" w:type="auto"/>
            <w:tcBorders>
              <w:top w:val="nil"/>
              <w:left w:val="nil"/>
              <w:bottom w:val="nil"/>
              <w:right w:val="nil"/>
            </w:tcBorders>
            <w:tcMar>
              <w:top w:w="0" w:type="dxa"/>
              <w:left w:w="62" w:type="dxa"/>
              <w:bottom w:w="0" w:type="dxa"/>
              <w:right w:w="62" w:type="dxa"/>
            </w:tcMar>
          </w:tcPr>
          <w:p w:rsidR="00000000" w:rsidP="002A39C2">
            <w:pPr>
              <w:pStyle w:val="List"/>
              <w:rPr>
                <w:lang w:val="en-NZ"/>
              </w:rPr>
            </w:pPr>
            <w:r w:rsidRPr="002A39C2">
              <w:t>1.  Identify significant factors affecting clinical coding work.</w:t>
            </w:r>
          </w:p>
        </w:tc>
        <w:tc>
          <w:tcPr>
            <w:tcW w:w="0" w:type="auto"/>
            <w:tcBorders>
              <w:top w:val="nil"/>
              <w:left w:val="nil"/>
              <w:bottom w:val="nil"/>
              <w:right w:val="nil"/>
            </w:tcBorders>
            <w:tcMar>
              <w:top w:w="0" w:type="dxa"/>
              <w:left w:w="62" w:type="dxa"/>
              <w:bottom w:w="0" w:type="dxa"/>
              <w:right w:w="62" w:type="dxa"/>
            </w:tcMar>
          </w:tcPr>
          <w:p w:rsidR="00000000" w:rsidRPr="002A39C2" w:rsidP="002A39C2">
            <w:pPr>
              <w:pStyle w:val="List"/>
            </w:pPr>
            <w:r w:rsidRPr="002A39C2">
              <w:t>1.1. Identify key stakeholders and their role in health care service delivery.</w:t>
            </w:r>
          </w:p>
          <w:p w:rsidR="00000000" w:rsidP="002A39C2">
            <w:pPr>
              <w:pStyle w:val="List"/>
              <w:rPr>
                <w:lang w:val="en-NZ"/>
              </w:rPr>
            </w:pPr>
            <w:r w:rsidRPr="002A39C2">
              <w:t>1.2. Identify external factors that impact the health care system and their influence on clinical coding outcome</w:t>
            </w:r>
            <w:r w:rsidRPr="002A39C2">
              <w:t>s.</w:t>
            </w:r>
          </w:p>
        </w:tc>
      </w:tr>
      <w:tr w:rsidTr="005B3379">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2A39C2">
            <w:pPr>
              <w:pStyle w:val="List"/>
              <w:rPr>
                <w:lang w:val="en-NZ"/>
              </w:rPr>
            </w:pPr>
            <w:r w:rsidRPr="002A39C2">
              <w:t xml:space="preserve">2.  Identify the legislative and regulatory frameworks. </w:t>
            </w:r>
          </w:p>
        </w:tc>
        <w:tc>
          <w:tcPr>
            <w:tcW w:w="0" w:type="auto"/>
            <w:tcBorders>
              <w:top w:val="nil"/>
              <w:left w:val="nil"/>
              <w:bottom w:val="nil"/>
              <w:right w:val="nil"/>
            </w:tcBorders>
            <w:tcMar>
              <w:top w:w="0" w:type="dxa"/>
              <w:left w:w="62" w:type="dxa"/>
              <w:bottom w:w="0" w:type="dxa"/>
              <w:right w:w="62" w:type="dxa"/>
            </w:tcMar>
          </w:tcPr>
          <w:p w:rsidR="00000000" w:rsidRPr="002A39C2" w:rsidP="002A39C2">
            <w:pPr>
              <w:pStyle w:val="List"/>
            </w:pPr>
            <w:r w:rsidRPr="002A39C2">
              <w:t xml:space="preserve">2.1. Research the scope, structure and functions of public and private health care service providers and identify relevant statutory </w:t>
            </w:r>
            <w:r w:rsidRPr="002A39C2">
              <w:t xml:space="preserve">and government reporting requirements for coded clinical data. </w:t>
            </w:r>
          </w:p>
          <w:p w:rsidR="00000000" w:rsidRPr="002A39C2" w:rsidP="002A39C2">
            <w:pPr>
              <w:pStyle w:val="List"/>
            </w:pPr>
            <w:r w:rsidRPr="002A39C2">
              <w:t>2.2. Identify national and jurisdictional agreements, legislation and policies that relate to clinical coding practices.</w:t>
            </w:r>
          </w:p>
          <w:p w:rsidR="00000000" w:rsidP="002A39C2">
            <w:pPr>
              <w:pStyle w:val="List"/>
              <w:rPr>
                <w:lang w:val="en-NZ"/>
              </w:rPr>
            </w:pPr>
            <w:r w:rsidRPr="002A39C2">
              <w:t>2.3. Analyse the impact of identified legislative and regulatory framew</w:t>
            </w:r>
            <w:r w:rsidRPr="002A39C2">
              <w:t>orks and policies on coded clinical data.</w:t>
            </w:r>
          </w:p>
        </w:tc>
      </w:tr>
      <w:tr w:rsidTr="005B3379">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000000" w:rsidP="002A39C2">
            <w:pPr>
              <w:pStyle w:val="List"/>
              <w:rPr>
                <w:lang w:val="en-NZ"/>
              </w:rPr>
            </w:pPr>
            <w:r w:rsidRPr="002A39C2">
              <w:t>3.  Analyse impact of health care worker roles and patient journeys on clinical coding.</w:t>
            </w:r>
          </w:p>
        </w:tc>
        <w:tc>
          <w:tcPr>
            <w:tcW w:w="0" w:type="auto"/>
            <w:tcBorders>
              <w:top w:val="nil"/>
              <w:left w:val="nil"/>
              <w:bottom w:val="nil"/>
              <w:right w:val="nil"/>
            </w:tcBorders>
            <w:tcMar>
              <w:top w:w="0" w:type="dxa"/>
              <w:left w:w="62" w:type="dxa"/>
              <w:bottom w:w="0" w:type="dxa"/>
              <w:right w:w="62" w:type="dxa"/>
            </w:tcMar>
          </w:tcPr>
          <w:p w:rsidR="00000000" w:rsidRPr="002A39C2" w:rsidP="002A39C2">
            <w:pPr>
              <w:pStyle w:val="List"/>
            </w:pPr>
            <w:r w:rsidRPr="002A39C2">
              <w:t>3.1. Identify the different roles and scope of practice of health care service professionals and how they interact to achieve</w:t>
            </w:r>
            <w:r w:rsidRPr="002A39C2">
              <w:t xml:space="preserve"> patient outcomes.</w:t>
            </w:r>
          </w:p>
          <w:p w:rsidR="00000000" w:rsidRPr="002A39C2" w:rsidP="002A39C2">
            <w:pPr>
              <w:pStyle w:val="List"/>
            </w:pPr>
            <w:r w:rsidRPr="002A39C2">
              <w:t>3.2. Identify the responsibilities, communication channels and key organisational structures of health care service environments.</w:t>
            </w:r>
          </w:p>
          <w:p w:rsidR="00000000" w:rsidRPr="002A39C2" w:rsidP="002A39C2">
            <w:pPr>
              <w:pStyle w:val="List"/>
            </w:pPr>
            <w:r w:rsidRPr="002A39C2">
              <w:t>3.3. Identify how different health care service environments and various clinical disciplines influence the</w:t>
            </w:r>
            <w:r w:rsidRPr="002A39C2">
              <w:t xml:space="preserve"> patient journey and patient management pathways.</w:t>
            </w:r>
          </w:p>
          <w:p w:rsidR="00000000" w:rsidP="002A39C2">
            <w:pPr>
              <w:pStyle w:val="List"/>
              <w:rPr>
                <w:lang w:val="en-NZ"/>
              </w:rPr>
            </w:pPr>
            <w:r w:rsidRPr="002A39C2">
              <w:t>3.4. Analyse impacts of distinct patient management pathways on clinical coding.</w:t>
            </w:r>
          </w:p>
        </w:tc>
      </w:tr>
      <w:tr w:rsidTr="005B3379">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000000" w:rsidP="002A39C2">
            <w:pPr>
              <w:pStyle w:val="List"/>
              <w:rPr>
                <w:lang w:val="en-NZ"/>
              </w:rPr>
            </w:pPr>
            <w:r w:rsidRPr="002A39C2">
              <w:t>4.  Investigate the relationship between funding and clinical coding.</w:t>
            </w:r>
          </w:p>
        </w:tc>
        <w:tc>
          <w:tcPr>
            <w:tcW w:w="0" w:type="auto"/>
            <w:tcBorders>
              <w:top w:val="nil"/>
              <w:left w:val="nil"/>
              <w:bottom w:val="nil"/>
              <w:right w:val="nil"/>
            </w:tcBorders>
            <w:tcMar>
              <w:top w:w="0" w:type="dxa"/>
              <w:left w:w="62" w:type="dxa"/>
              <w:bottom w:w="0" w:type="dxa"/>
              <w:right w:w="62" w:type="dxa"/>
            </w:tcMar>
          </w:tcPr>
          <w:p w:rsidR="00000000" w:rsidRPr="002A39C2" w:rsidP="002A39C2">
            <w:pPr>
              <w:pStyle w:val="List"/>
            </w:pPr>
            <w:r w:rsidRPr="002A39C2">
              <w:t>4.1. Determine current classifications, sources and models of funding for health care service providers.</w:t>
            </w:r>
          </w:p>
          <w:p w:rsidR="00000000" w:rsidP="002A39C2">
            <w:pPr>
              <w:pStyle w:val="List"/>
              <w:rPr>
                <w:lang w:val="en-NZ"/>
              </w:rPr>
            </w:pPr>
            <w:r w:rsidRPr="002A39C2">
              <w:t>4.2. Identify the principles of funding models and their impact on clinical coding work.</w:t>
            </w:r>
          </w:p>
        </w:tc>
      </w:tr>
      <w:tr w:rsidTr="005B3379">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2A39C2">
            <w:pPr>
              <w:pStyle w:val="List"/>
              <w:rPr>
                <w:lang w:val="en-NZ"/>
              </w:rPr>
            </w:pPr>
            <w:r w:rsidRPr="002A39C2">
              <w:t>5.  Identify the usage of coded clinical data.</w:t>
            </w:r>
          </w:p>
        </w:tc>
        <w:tc>
          <w:tcPr>
            <w:tcW w:w="0" w:type="auto"/>
            <w:tcBorders>
              <w:top w:val="nil"/>
              <w:left w:val="nil"/>
              <w:bottom w:val="nil"/>
              <w:right w:val="nil"/>
            </w:tcBorders>
            <w:tcMar>
              <w:top w:w="0" w:type="dxa"/>
              <w:left w:w="62" w:type="dxa"/>
              <w:bottom w:w="0" w:type="dxa"/>
              <w:right w:w="62" w:type="dxa"/>
            </w:tcMar>
          </w:tcPr>
          <w:p w:rsidR="00000000" w:rsidRPr="002A39C2" w:rsidP="002A39C2">
            <w:pPr>
              <w:pStyle w:val="List"/>
            </w:pPr>
            <w:r w:rsidRPr="002A39C2">
              <w:t xml:space="preserve">5.1. Identify </w:t>
            </w:r>
            <w:r w:rsidRPr="002A39C2">
              <w:t>national and local organisations that provide guidance, direction and influence clinical coders’ work activities.</w:t>
            </w:r>
          </w:p>
          <w:p w:rsidR="00000000" w:rsidRPr="002A39C2" w:rsidP="002A39C2">
            <w:pPr>
              <w:pStyle w:val="List"/>
            </w:pPr>
            <w:r w:rsidRPr="002A39C2">
              <w:t>5.2. Determine how coded clinical data is used to facilitate clinical research, health service planning, improved patient outcomes and safety.</w:t>
            </w:r>
          </w:p>
          <w:p w:rsidR="00000000" w:rsidRPr="002A39C2" w:rsidP="002A39C2">
            <w:pPr>
              <w:pStyle w:val="List"/>
            </w:pPr>
            <w:r w:rsidRPr="002A39C2">
              <w:t>5.3. Determine expected timeframe and accuracy rate for completion of coded clinical data according to statutory, government and organisational requirements.</w:t>
            </w:r>
          </w:p>
        </w:tc>
      </w:tr>
    </w:tbl>
    <w:p w:rsidR="00000000" w:rsidRPr="002A39C2" w:rsidP="002A39C2">
      <w:pPr>
        <w:pStyle w:val="BodyText"/>
      </w:pPr>
    </w:p>
    <w:p w:rsidR="00000000" w:rsidRPr="002A39C2" w:rsidP="002A39C2">
      <w:pPr>
        <w:pStyle w:val="AllowPageBreak"/>
      </w:pPr>
    </w:p>
    <w:p w:rsidR="00000000" w:rsidRPr="002A39C2" w:rsidP="002A39C2">
      <w:pPr>
        <w:pStyle w:val="Heading1"/>
      </w:pPr>
      <w:bookmarkStart w:id="7" w:name="O_1200174"/>
      <w:bookmarkEnd w:id="7"/>
      <w:r w:rsidRPr="002A39C2">
        <w:t>Foundation Skills</w:t>
      </w:r>
    </w:p>
    <w:p w:rsidR="00000000" w:rsidRPr="002A39C2" w:rsidP="005B3379">
      <w:pPr>
        <w:pStyle w:val="BodyText"/>
      </w:pPr>
      <w:r w:rsidRPr="002A39C2">
        <w:t>Foundation skills essential to performance are explicit in</w:t>
      </w:r>
      <w:r w:rsidRPr="002A39C2">
        <w:t xml:space="preserve"> the performance criteria of this unit of competency.</w:t>
      </w:r>
    </w:p>
    <w:p w:rsidR="00000000" w:rsidRPr="002A39C2" w:rsidP="002A39C2">
      <w:pPr>
        <w:pStyle w:val="Heading1"/>
      </w:pPr>
      <w:bookmarkStart w:id="8" w:name="O_1200173"/>
      <w:bookmarkEnd w:id="8"/>
      <w:r w:rsidRPr="002A39C2">
        <w:t>Unit Mapping Information</w:t>
      </w:r>
    </w:p>
    <w:p w:rsidR="00000000" w:rsidRPr="002A39C2" w:rsidP="005B3379">
      <w:pPr>
        <w:pStyle w:val="BodyText"/>
      </w:pPr>
      <w:r w:rsidRPr="002A39C2">
        <w:t>No Equivalent Unit</w:t>
      </w:r>
    </w:p>
    <w:p w:rsidR="00000000" w:rsidRPr="002A39C2" w:rsidP="002A39C2">
      <w:pPr>
        <w:pStyle w:val="Heading1"/>
      </w:pPr>
      <w:bookmarkStart w:id="9" w:name="O_1200181"/>
      <w:bookmarkEnd w:id="9"/>
      <w:r w:rsidRPr="002A39C2">
        <w:t>Links</w:t>
      </w:r>
    </w:p>
    <w:p w:rsidR="00000000" w:rsidRPr="002A39C2" w:rsidP="005B3379">
      <w:pPr>
        <w:pStyle w:val="BodyText"/>
      </w:pPr>
      <w:r w:rsidRPr="002A39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7610">
        <w:rPr>
          <w:rStyle w:val="Hyperlink"/>
        </w:rPr>
        <w:t>https://vetnet.gov.au/Pages/TrainingDocs.aspx?q=ced1390f-48d9-4ab0-bd50-b015e5485705</w:t>
      </w:r>
      <w:r>
        <w:fldChar w:fldCharType="end"/>
      </w:r>
    </w:p>
    <w:p w:rsidR="00000000" w:rsidRPr="002A39C2" w:rsidP="002A39C2"/>
    <w:sectPr w:rsidSect="002A39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C2" w:rsidRPr="005B3379" w:rsidP="005B3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79" w:rsidP="002A3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379" w:rsidP="002A39C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B3379" w:rsidP="002A3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9C2" w:rsidRPr="005B3379" w:rsidP="005B3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79" w:rsidRPr="002D2AF8" w:rsidP="002A39C2">
    <w:pPr>
      <w:pStyle w:val="Header"/>
      <w:framePr w:wrap="around"/>
    </w:pPr>
    <w:r>
      <w:fldChar w:fldCharType="begin"/>
    </w:r>
    <w:r>
      <w:instrText xml:space="preserve"> TITLE   \* MERGEFORMAT </w:instrText>
    </w:r>
    <w:r>
      <w:fldChar w:fldCharType="separate"/>
    </w:r>
    <w:r>
      <w:t>HLTCCD001 Apply an understanding of the health care system to clinical coding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B3379" w:rsidP="002A3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9C2"/>
    <w:pPr>
      <w:spacing w:before="360" w:after="60"/>
      <w:outlineLvl w:val="0"/>
    </w:pPr>
    <w:rPr>
      <w:sz w:val="32"/>
    </w:rPr>
  </w:style>
  <w:style w:type="paragraph" w:styleId="Heading2">
    <w:name w:val="heading 2"/>
    <w:basedOn w:val="HeadingBase"/>
    <w:next w:val="BodyText"/>
    <w:link w:val="Heading2Char"/>
    <w:qFormat/>
    <w:rsid w:val="002A39C2"/>
    <w:pPr>
      <w:keepLines/>
      <w:spacing w:before="240" w:after="120"/>
      <w:outlineLvl w:val="1"/>
    </w:pPr>
    <w:rPr>
      <w:sz w:val="28"/>
      <w:szCs w:val="40"/>
    </w:rPr>
  </w:style>
  <w:style w:type="paragraph" w:styleId="Heading3">
    <w:name w:val="heading 3"/>
    <w:basedOn w:val="HeadingBase"/>
    <w:next w:val="BodyText"/>
    <w:link w:val="Heading3Char"/>
    <w:qFormat/>
    <w:rsid w:val="002A39C2"/>
    <w:pPr>
      <w:spacing w:before="180" w:after="120"/>
      <w:outlineLvl w:val="2"/>
    </w:pPr>
    <w:rPr>
      <w:spacing w:val="-10"/>
      <w:kern w:val="32"/>
    </w:rPr>
  </w:style>
  <w:style w:type="paragraph" w:styleId="Heading4">
    <w:name w:val="heading 4"/>
    <w:basedOn w:val="HeadingBase"/>
    <w:next w:val="BodyText"/>
    <w:link w:val="Heading4Char"/>
    <w:qFormat/>
    <w:rsid w:val="002A39C2"/>
    <w:pPr>
      <w:spacing w:before="160" w:after="120"/>
      <w:outlineLvl w:val="3"/>
    </w:pPr>
    <w:rPr>
      <w:sz w:val="22"/>
    </w:rPr>
  </w:style>
  <w:style w:type="paragraph" w:styleId="Heading5">
    <w:name w:val="heading 5"/>
    <w:basedOn w:val="HeadingBase"/>
    <w:next w:val="Normal"/>
    <w:link w:val="Heading5Char"/>
    <w:qFormat/>
    <w:rsid w:val="002A39C2"/>
    <w:pPr>
      <w:spacing w:before="80"/>
      <w:outlineLvl w:val="4"/>
    </w:pPr>
    <w:rPr>
      <w:color w:val="918585"/>
      <w:sz w:val="20"/>
    </w:rPr>
  </w:style>
  <w:style w:type="paragraph" w:styleId="Heading6">
    <w:name w:val="heading 6"/>
    <w:basedOn w:val="HeadingBase"/>
    <w:next w:val="Normal"/>
    <w:link w:val="Heading6Char"/>
    <w:qFormat/>
    <w:rsid w:val="002A39C2"/>
    <w:pPr>
      <w:spacing w:before="60"/>
      <w:outlineLvl w:val="5"/>
    </w:pPr>
    <w:rPr>
      <w:color w:val="918585"/>
      <w:sz w:val="20"/>
    </w:rPr>
  </w:style>
  <w:style w:type="paragraph" w:styleId="Heading7">
    <w:name w:val="heading 7"/>
    <w:basedOn w:val="Normal"/>
    <w:next w:val="Normal"/>
    <w:link w:val="Heading7Char"/>
    <w:qFormat/>
    <w:rsid w:val="002A39C2"/>
    <w:pPr>
      <w:ind w:left="720"/>
      <w:outlineLvl w:val="6"/>
    </w:pPr>
    <w:rPr>
      <w:i/>
    </w:rPr>
  </w:style>
  <w:style w:type="paragraph" w:styleId="Heading8">
    <w:name w:val="heading 8"/>
    <w:basedOn w:val="Normal"/>
    <w:next w:val="Normal"/>
    <w:link w:val="Heading8Char"/>
    <w:qFormat/>
    <w:rsid w:val="002A39C2"/>
    <w:pPr>
      <w:ind w:left="720"/>
      <w:outlineLvl w:val="7"/>
    </w:pPr>
    <w:rPr>
      <w:i/>
    </w:rPr>
  </w:style>
  <w:style w:type="paragraph" w:styleId="Heading9">
    <w:name w:val="heading 9"/>
    <w:basedOn w:val="Normal"/>
    <w:next w:val="Normal"/>
    <w:link w:val="Heading9Char"/>
    <w:qFormat/>
    <w:rsid w:val="002A39C2"/>
    <w:pPr>
      <w:ind w:left="720"/>
      <w:outlineLvl w:val="8"/>
    </w:pPr>
    <w:rPr>
      <w:i/>
    </w:rPr>
  </w:style>
  <w:style w:type="character" w:default="1" w:styleId="DefaultParagraphFont">
    <w:name w:val="Default Paragraph Font"/>
    <w:uiPriority w:val="1"/>
    <w:unhideWhenUsed/>
    <w:rsid w:val="002A3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9C2"/>
  </w:style>
  <w:style w:type="character" w:customStyle="1" w:styleId="Heading1Char">
    <w:name w:val="Heading 1 Char"/>
    <w:basedOn w:val="DefaultParagraphFont"/>
    <w:link w:val="Heading1"/>
    <w:rsid w:val="002A39C2"/>
    <w:rPr>
      <w:rFonts w:ascii="Times New Roman" w:eastAsia="Times New Roman" w:hAnsi="Times New Roman" w:cs="Times New Roman"/>
      <w:b/>
      <w:sz w:val="32"/>
      <w:szCs w:val="20"/>
      <w:lang w:eastAsia="en-US"/>
    </w:rPr>
  </w:style>
  <w:style w:type="paragraph" w:styleId="BodyText">
    <w:name w:val="Body Text"/>
    <w:basedOn w:val="Normal"/>
    <w:link w:val="BodyTextChar"/>
    <w:rsid w:val="002A3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9C2"/>
    <w:rPr>
      <w:rFonts w:ascii="Times New Roman" w:eastAsia="Times New Roman" w:hAnsi="Times New Roman" w:cs="Times New Roman"/>
      <w:sz w:val="24"/>
      <w:lang w:eastAsia="en-US"/>
    </w:rPr>
  </w:style>
  <w:style w:type="paragraph" w:styleId="List">
    <w:name w:val="List"/>
    <w:basedOn w:val="BodyText"/>
    <w:next w:val="BodyText"/>
    <w:rsid w:val="002A39C2"/>
    <w:pPr>
      <w:tabs>
        <w:tab w:val="left" w:pos="340"/>
      </w:tabs>
      <w:spacing w:before="60" w:after="60"/>
      <w:ind w:left="340" w:hanging="340"/>
    </w:pPr>
  </w:style>
  <w:style w:type="character" w:customStyle="1" w:styleId="SpecialBold">
    <w:name w:val="Special Bold"/>
    <w:basedOn w:val="DefaultParagraphFont"/>
    <w:rsid w:val="002A39C2"/>
    <w:rPr>
      <w:b/>
      <w:spacing w:val="0"/>
    </w:rPr>
  </w:style>
  <w:style w:type="character" w:styleId="Emphasis">
    <w:name w:val="Emphasis"/>
    <w:basedOn w:val="DefaultParagraphFont"/>
    <w:qFormat/>
    <w:rsid w:val="002A39C2"/>
    <w:rPr>
      <w:i/>
    </w:rPr>
  </w:style>
  <w:style w:type="paragraph" w:customStyle="1" w:styleId="SuperHeading">
    <w:name w:val="SuperHeading"/>
    <w:basedOn w:val="Normal"/>
    <w:rsid w:val="002A39C2"/>
    <w:pPr>
      <w:spacing w:before="240" w:after="120"/>
      <w:outlineLvl w:val="0"/>
    </w:pPr>
    <w:rPr>
      <w:rFonts w:ascii="Times New Roman" w:hAnsi="Times New Roman"/>
      <w:b/>
      <w:sz w:val="32"/>
    </w:rPr>
  </w:style>
  <w:style w:type="paragraph" w:customStyle="1" w:styleId="AllowPageBreak">
    <w:name w:val="AllowPageBreak"/>
    <w:rsid w:val="002A39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A39C2"/>
    <w:rPr>
      <w:b/>
    </w:rPr>
  </w:style>
  <w:style w:type="character" w:customStyle="1" w:styleId="Heading2Char">
    <w:name w:val="Heading 2 Char"/>
    <w:basedOn w:val="DefaultParagraphFont"/>
    <w:link w:val="Heading2"/>
    <w:rsid w:val="002A3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9C2"/>
    <w:rPr>
      <w:rFonts w:ascii="Courier New" w:eastAsia="Times New Roman" w:hAnsi="Courier New" w:cs="Times New Roman"/>
      <w:i/>
      <w:szCs w:val="20"/>
      <w:lang w:eastAsia="en-US"/>
    </w:rPr>
  </w:style>
  <w:style w:type="paragraph" w:customStyle="1" w:styleId="HeadingBase">
    <w:name w:val="Heading Base"/>
    <w:rsid w:val="002A3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9C2"/>
    <w:pPr>
      <w:tabs>
        <w:tab w:val="right" w:leader="dot" w:pos="9072"/>
      </w:tabs>
      <w:ind w:left="567"/>
    </w:pPr>
    <w:rPr>
      <w:szCs w:val="22"/>
    </w:rPr>
  </w:style>
  <w:style w:type="paragraph" w:customStyle="1" w:styleId="TOCBase">
    <w:name w:val="TOC Base"/>
    <w:rsid w:val="002A3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9C2"/>
    <w:pPr>
      <w:tabs>
        <w:tab w:val="right" w:leader="dot" w:pos="9072"/>
      </w:tabs>
      <w:spacing w:before="40" w:after="40"/>
      <w:ind w:left="284"/>
    </w:pPr>
    <w:rPr>
      <w:rFonts w:ascii="Times New Roman" w:hAnsi="Times New Roman"/>
    </w:rPr>
  </w:style>
  <w:style w:type="paragraph" w:styleId="TOC1">
    <w:name w:val="toc 1"/>
    <w:basedOn w:val="TOCBase"/>
    <w:next w:val="Normal"/>
    <w:rsid w:val="002A3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9C2"/>
    <w:rPr>
      <w:rFonts w:ascii="Times New Roman" w:eastAsia="Times New Roman" w:hAnsi="Times New Roman" w:cs="Times New Roman"/>
      <w:sz w:val="16"/>
      <w:lang w:eastAsia="en-US"/>
    </w:rPr>
  </w:style>
  <w:style w:type="paragraph" w:styleId="Title">
    <w:name w:val="Title"/>
    <w:basedOn w:val="HeadingBase"/>
    <w:link w:val="TitleChar"/>
    <w:qFormat/>
    <w:rsid w:val="002A39C2"/>
    <w:pPr>
      <w:spacing w:before="5040"/>
      <w:jc w:val="center"/>
    </w:pPr>
    <w:rPr>
      <w:sz w:val="48"/>
      <w:szCs w:val="72"/>
      <w:lang w:val="en-US"/>
    </w:rPr>
  </w:style>
  <w:style w:type="character" w:customStyle="1" w:styleId="TitleChar">
    <w:name w:val="Title Char"/>
    <w:basedOn w:val="DefaultParagraphFont"/>
    <w:link w:val="Title"/>
    <w:rsid w:val="002A3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9C2"/>
    <w:pPr>
      <w:tabs>
        <w:tab w:val="left" w:pos="3600"/>
        <w:tab w:val="left" w:pos="3958"/>
      </w:tabs>
    </w:pPr>
  </w:style>
  <w:style w:type="paragraph" w:styleId="ListBullet">
    <w:name w:val="List Bullet"/>
    <w:basedOn w:val="List"/>
    <w:rsid w:val="002A39C2"/>
    <w:pPr>
      <w:numPr>
        <w:numId w:val="10"/>
      </w:numPr>
      <w:tabs>
        <w:tab w:val="clear" w:pos="340"/>
      </w:tabs>
      <w:spacing w:before="40" w:after="40"/>
    </w:pPr>
  </w:style>
  <w:style w:type="paragraph" w:customStyle="1" w:styleId="Note">
    <w:name w:val="Note"/>
    <w:basedOn w:val="BodyText"/>
    <w:rsid w:val="002A3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9C2"/>
    <w:pPr>
      <w:framePr w:wrap="auto" w:hAnchor="text" w:y="6049"/>
    </w:pPr>
    <w:rPr>
      <w:color w:val="000000"/>
      <w:sz w:val="40"/>
    </w:rPr>
  </w:style>
  <w:style w:type="paragraph" w:customStyle="1" w:styleId="TOCTitle">
    <w:name w:val="TOCTitle"/>
    <w:basedOn w:val="Heading1"/>
    <w:rsid w:val="002A39C2"/>
    <w:pPr>
      <w:spacing w:after="240"/>
      <w:jc w:val="center"/>
      <w:outlineLvl w:val="9"/>
    </w:pPr>
    <w:rPr>
      <w:caps/>
    </w:rPr>
  </w:style>
  <w:style w:type="paragraph" w:customStyle="1" w:styleId="Version">
    <w:name w:val="Version"/>
    <w:rsid w:val="002A3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9C2"/>
    <w:pPr>
      <w:numPr>
        <w:numId w:val="11"/>
      </w:numPr>
      <w:tabs>
        <w:tab w:val="clear" w:pos="680"/>
      </w:tabs>
    </w:pPr>
  </w:style>
  <w:style w:type="paragraph" w:styleId="Index1">
    <w:name w:val="index 1"/>
    <w:basedOn w:val="Normal"/>
    <w:next w:val="Normal"/>
    <w:semiHidden/>
    <w:rsid w:val="002A39C2"/>
    <w:pPr>
      <w:keepNext w:val="0"/>
      <w:tabs>
        <w:tab w:val="right" w:pos="4176"/>
      </w:tabs>
      <w:ind w:left="198" w:hanging="198"/>
    </w:pPr>
    <w:rPr>
      <w:rFonts w:ascii="Garamond" w:hAnsi="Garamond"/>
    </w:rPr>
  </w:style>
  <w:style w:type="paragraph" w:styleId="IndexHeading">
    <w:name w:val="index heading"/>
    <w:basedOn w:val="Normal"/>
    <w:next w:val="Index1"/>
    <w:semiHidden/>
    <w:rsid w:val="002A39C2"/>
    <w:pPr>
      <w:spacing w:before="120" w:after="120"/>
    </w:pPr>
    <w:rPr>
      <w:rFonts w:ascii="Arial" w:hAnsi="Arial"/>
      <w:b/>
      <w:color w:val="918585"/>
      <w:sz w:val="24"/>
    </w:rPr>
  </w:style>
  <w:style w:type="paragraph" w:styleId="Header">
    <w:name w:val="header"/>
    <w:basedOn w:val="Normal"/>
    <w:link w:val="HeaderChar"/>
    <w:rsid w:val="002A3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9C2"/>
    <w:rPr>
      <w:rFonts w:ascii="Times New Roman" w:eastAsia="Times New Roman" w:hAnsi="Times New Roman" w:cs="Times New Roman"/>
      <w:sz w:val="16"/>
      <w:szCs w:val="20"/>
      <w:lang w:val="en-GB" w:eastAsia="en-US"/>
    </w:rPr>
  </w:style>
  <w:style w:type="paragraph" w:customStyle="1" w:styleId="Chapter">
    <w:name w:val="Chapter"/>
    <w:basedOn w:val="Normal"/>
    <w:rsid w:val="002A39C2"/>
    <w:pPr>
      <w:spacing w:before="240"/>
    </w:pPr>
    <w:rPr>
      <w:rFonts w:ascii="Times New Roman" w:hAnsi="Times New Roman"/>
      <w:smallCaps/>
      <w:spacing w:val="80"/>
      <w:sz w:val="28"/>
    </w:rPr>
  </w:style>
  <w:style w:type="paragraph" w:customStyle="1" w:styleId="InChapter">
    <w:name w:val="InChapter"/>
    <w:basedOn w:val="Heading3"/>
    <w:rsid w:val="002A39C2"/>
    <w:pPr>
      <w:spacing w:after="240"/>
      <w:outlineLvl w:val="9"/>
    </w:pPr>
    <w:rPr>
      <w:noProof/>
    </w:rPr>
  </w:style>
  <w:style w:type="paragraph" w:styleId="Index2">
    <w:name w:val="index 2"/>
    <w:basedOn w:val="Normal"/>
    <w:next w:val="Normal"/>
    <w:semiHidden/>
    <w:rsid w:val="002A39C2"/>
    <w:pPr>
      <w:tabs>
        <w:tab w:val="right" w:pos="4176"/>
      </w:tabs>
      <w:ind w:left="568" w:hanging="284"/>
    </w:pPr>
    <w:rPr>
      <w:rFonts w:ascii="Garamond" w:hAnsi="Garamond"/>
    </w:rPr>
  </w:style>
  <w:style w:type="paragraph" w:customStyle="1" w:styleId="Byline">
    <w:name w:val="Byline"/>
    <w:rsid w:val="002A3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9C2"/>
    <w:pPr>
      <w:tabs>
        <w:tab w:val="clear" w:pos="3600"/>
        <w:tab w:val="clear" w:pos="3958"/>
      </w:tabs>
      <w:jc w:val="right"/>
    </w:pPr>
  </w:style>
  <w:style w:type="paragraph" w:styleId="Caption">
    <w:name w:val="caption"/>
    <w:basedOn w:val="BodyText"/>
    <w:next w:val="Normal"/>
    <w:qFormat/>
    <w:rsid w:val="002A39C2"/>
    <w:pPr>
      <w:framePr w:w="2268" w:hSpace="181" w:vSpace="181" w:wrap="around" w:vAnchor="text" w:hAnchor="page" w:x="1135" w:y="285" w:anchorLock="1"/>
    </w:pPr>
    <w:rPr>
      <w:i/>
    </w:rPr>
  </w:style>
  <w:style w:type="paragraph" w:customStyle="1" w:styleId="MiniTOCTitle">
    <w:name w:val="MiniTOCTitle"/>
    <w:basedOn w:val="Heading4"/>
    <w:rsid w:val="002A39C2"/>
    <w:pPr>
      <w:spacing w:before="240"/>
      <w:outlineLvl w:val="9"/>
    </w:pPr>
    <w:rPr>
      <w:noProof/>
      <w:sz w:val="24"/>
    </w:rPr>
  </w:style>
  <w:style w:type="paragraph" w:customStyle="1" w:styleId="MiniTOCItem">
    <w:name w:val="MiniTOCItem"/>
    <w:basedOn w:val="ListBullet"/>
    <w:rsid w:val="002A39C2"/>
    <w:pPr>
      <w:numPr>
        <w:numId w:val="0"/>
      </w:numPr>
      <w:tabs>
        <w:tab w:val="right" w:leader="dot" w:pos="6521"/>
      </w:tabs>
      <w:spacing w:before="0" w:after="0"/>
    </w:pPr>
  </w:style>
  <w:style w:type="paragraph" w:customStyle="1" w:styleId="TOFTitle">
    <w:name w:val="TOFTitle"/>
    <w:basedOn w:val="TOCTitle"/>
    <w:rsid w:val="002A39C2"/>
  </w:style>
  <w:style w:type="paragraph" w:styleId="TableofFigures">
    <w:name w:val="table of figures"/>
    <w:basedOn w:val="Normal"/>
    <w:next w:val="Normal"/>
    <w:semiHidden/>
    <w:rsid w:val="002A39C2"/>
    <w:pPr>
      <w:tabs>
        <w:tab w:val="right" w:leader="dot" w:pos="9072"/>
      </w:tabs>
      <w:ind w:left="970" w:hanging="403"/>
    </w:pPr>
    <w:rPr>
      <w:rFonts w:ascii="Times New Roman" w:hAnsi="Times New Roman"/>
      <w:b/>
    </w:rPr>
  </w:style>
  <w:style w:type="paragraph" w:styleId="ListNumber">
    <w:name w:val="List Number"/>
    <w:basedOn w:val="List"/>
    <w:rsid w:val="002A39C2"/>
    <w:pPr>
      <w:numPr>
        <w:numId w:val="13"/>
      </w:numPr>
      <w:tabs>
        <w:tab w:val="clear" w:pos="340"/>
      </w:tabs>
    </w:pPr>
  </w:style>
  <w:style w:type="character" w:customStyle="1" w:styleId="WingdingSymbols">
    <w:name w:val="Wingding Symbols"/>
    <w:rsid w:val="002A39C2"/>
    <w:rPr>
      <w:rFonts w:ascii="Wingdings" w:hAnsi="Wingdings"/>
    </w:rPr>
  </w:style>
  <w:style w:type="paragraph" w:customStyle="1" w:styleId="TableHeading">
    <w:name w:val="Table Heading"/>
    <w:basedOn w:val="HeadingBase"/>
    <w:rsid w:val="002A39C2"/>
    <w:pPr>
      <w:keepLines/>
      <w:pBdr>
        <w:bottom w:val="single" w:sz="6" w:space="1" w:color="918585"/>
      </w:pBdr>
      <w:spacing w:before="240"/>
    </w:pPr>
  </w:style>
  <w:style w:type="character" w:customStyle="1" w:styleId="HotSpot">
    <w:name w:val="HotSpot"/>
    <w:rsid w:val="002A39C2"/>
    <w:rPr>
      <w:color w:val="0033CC"/>
      <w:u w:val="none"/>
    </w:rPr>
  </w:style>
  <w:style w:type="paragraph" w:customStyle="1" w:styleId="BodyTextRight">
    <w:name w:val="Body Text Right"/>
    <w:basedOn w:val="BodyText"/>
    <w:rsid w:val="002A39C2"/>
    <w:pPr>
      <w:spacing w:before="0" w:after="0"/>
      <w:jc w:val="right"/>
    </w:pPr>
  </w:style>
  <w:style w:type="paragraph" w:styleId="Index3">
    <w:name w:val="index 3"/>
    <w:basedOn w:val="ListNumber2"/>
    <w:next w:val="Normal"/>
    <w:semiHidden/>
    <w:rsid w:val="002A39C2"/>
    <w:pPr>
      <w:numPr>
        <w:numId w:val="0"/>
      </w:numPr>
      <w:tabs>
        <w:tab w:val="right" w:leader="dot" w:pos="4176"/>
      </w:tabs>
    </w:pPr>
  </w:style>
  <w:style w:type="paragraph" w:styleId="ListNumber2">
    <w:name w:val="List Number 2"/>
    <w:basedOn w:val="List2"/>
    <w:rsid w:val="002A39C2"/>
    <w:pPr>
      <w:numPr>
        <w:numId w:val="8"/>
      </w:numPr>
      <w:tabs>
        <w:tab w:val="clear" w:pos="1060"/>
      </w:tabs>
    </w:pPr>
  </w:style>
  <w:style w:type="paragraph" w:customStyle="1" w:styleId="MarginNote">
    <w:name w:val="Margin Note"/>
    <w:basedOn w:val="BodyText"/>
    <w:rsid w:val="002A3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9C2"/>
    <w:rPr>
      <w:sz w:val="32"/>
    </w:rPr>
  </w:style>
  <w:style w:type="paragraph" w:customStyle="1" w:styleId="HeadingProcedure">
    <w:name w:val="Heading Procedure"/>
    <w:basedOn w:val="HeadingBase"/>
    <w:next w:val="Normal"/>
    <w:rsid w:val="002A39C2"/>
    <w:pPr>
      <w:tabs>
        <w:tab w:val="left" w:pos="0"/>
      </w:tabs>
      <w:spacing w:before="120" w:after="60"/>
    </w:pPr>
    <w:rPr>
      <w:i/>
      <w:color w:val="918585"/>
      <w:sz w:val="22"/>
    </w:rPr>
  </w:style>
  <w:style w:type="paragraph" w:customStyle="1" w:styleId="TableBodyText">
    <w:name w:val="Table Body Text"/>
    <w:basedOn w:val="BodyText"/>
    <w:rsid w:val="002A39C2"/>
    <w:pPr>
      <w:spacing w:before="60" w:after="60"/>
    </w:pPr>
  </w:style>
  <w:style w:type="paragraph" w:styleId="ListContinue">
    <w:name w:val="List Continue"/>
    <w:basedOn w:val="List"/>
    <w:rsid w:val="002A39C2"/>
    <w:pPr>
      <w:ind w:firstLine="0"/>
    </w:pPr>
  </w:style>
  <w:style w:type="paragraph" w:customStyle="1" w:styleId="ListNote">
    <w:name w:val="List Note"/>
    <w:basedOn w:val="List"/>
    <w:rsid w:val="002A39C2"/>
    <w:pPr>
      <w:pBdr>
        <w:top w:val="single" w:sz="6" w:space="2" w:color="918585"/>
        <w:bottom w:val="single" w:sz="6" w:space="2" w:color="918585"/>
      </w:pBdr>
      <w:tabs>
        <w:tab w:val="left" w:pos="1021"/>
      </w:tabs>
      <w:ind w:firstLine="0"/>
    </w:pPr>
  </w:style>
  <w:style w:type="paragraph" w:customStyle="1" w:styleId="Warning">
    <w:name w:val="Warning"/>
    <w:basedOn w:val="BodyText"/>
    <w:rsid w:val="002A39C2"/>
    <w:pPr>
      <w:shd w:val="clear" w:color="auto" w:fill="D9D9D9"/>
      <w:tabs>
        <w:tab w:val="left" w:pos="992"/>
      </w:tabs>
      <w:ind w:left="119" w:right="119"/>
    </w:pPr>
    <w:rPr>
      <w:sz w:val="20"/>
    </w:rPr>
  </w:style>
  <w:style w:type="paragraph" w:customStyle="1" w:styleId="MarginIcons">
    <w:name w:val="Margin Icons"/>
    <w:basedOn w:val="BodyText"/>
    <w:rsid w:val="002A3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9C2"/>
    <w:rPr>
      <w:rFonts w:ascii="Courier New" w:hAnsi="Courier New"/>
    </w:rPr>
  </w:style>
  <w:style w:type="paragraph" w:customStyle="1" w:styleId="NoteBullet">
    <w:name w:val="Note Bullet"/>
    <w:basedOn w:val="Note"/>
    <w:rsid w:val="002A39C2"/>
    <w:pPr>
      <w:tabs>
        <w:tab w:val="clear" w:pos="680"/>
      </w:tabs>
      <w:spacing w:before="60" w:after="60"/>
    </w:pPr>
  </w:style>
  <w:style w:type="paragraph" w:customStyle="1" w:styleId="SubHeading2">
    <w:name w:val="SubHeading2"/>
    <w:basedOn w:val="HeadingBase"/>
    <w:rsid w:val="002A39C2"/>
    <w:pPr>
      <w:spacing w:before="240" w:after="60"/>
    </w:pPr>
    <w:rPr>
      <w:sz w:val="20"/>
    </w:rPr>
  </w:style>
  <w:style w:type="paragraph" w:customStyle="1" w:styleId="SubHeading1">
    <w:name w:val="SubHeading1"/>
    <w:basedOn w:val="HeadingBase"/>
    <w:rsid w:val="002A39C2"/>
    <w:pPr>
      <w:spacing w:before="240" w:after="60"/>
    </w:pPr>
    <w:rPr>
      <w:color w:val="918585"/>
      <w:sz w:val="22"/>
    </w:rPr>
  </w:style>
  <w:style w:type="paragraph" w:customStyle="1" w:styleId="SideHeading">
    <w:name w:val="Side Heading"/>
    <w:basedOn w:val="HeadingBase"/>
    <w:rsid w:val="002A3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9C2"/>
    <w:pPr>
      <w:numPr>
        <w:numId w:val="9"/>
      </w:numPr>
    </w:pPr>
  </w:style>
  <w:style w:type="paragraph" w:styleId="PlainText">
    <w:name w:val="Plain Text"/>
    <w:basedOn w:val="Normal"/>
    <w:link w:val="PlainTextChar"/>
    <w:rsid w:val="002A39C2"/>
    <w:rPr>
      <w:sz w:val="20"/>
    </w:rPr>
  </w:style>
  <w:style w:type="character" w:customStyle="1" w:styleId="PlainTextChar">
    <w:name w:val="Plain Text Char"/>
    <w:basedOn w:val="DefaultParagraphFont"/>
    <w:link w:val="PlainText"/>
    <w:rsid w:val="002A39C2"/>
    <w:rPr>
      <w:rFonts w:ascii="Courier New" w:eastAsia="Times New Roman" w:hAnsi="Courier New" w:cs="Times New Roman"/>
      <w:sz w:val="20"/>
      <w:szCs w:val="20"/>
      <w:lang w:eastAsia="en-US"/>
    </w:rPr>
  </w:style>
  <w:style w:type="character" w:customStyle="1" w:styleId="MenuOption">
    <w:name w:val="Menu Option"/>
    <w:basedOn w:val="DefaultParagraphFont"/>
    <w:rsid w:val="002A39C2"/>
    <w:rPr>
      <w:b/>
      <w:smallCaps/>
    </w:rPr>
  </w:style>
  <w:style w:type="paragraph" w:customStyle="1" w:styleId="TableListNumber">
    <w:name w:val="Table List Number"/>
    <w:basedOn w:val="ListNumber"/>
    <w:rsid w:val="002A39C2"/>
    <w:pPr>
      <w:numPr>
        <w:numId w:val="0"/>
      </w:numPr>
    </w:pPr>
  </w:style>
  <w:style w:type="paragraph" w:styleId="TOC4">
    <w:name w:val="toc 4"/>
    <w:basedOn w:val="TOCBase"/>
    <w:next w:val="Normal"/>
    <w:semiHidden/>
    <w:rsid w:val="002A39C2"/>
    <w:pPr>
      <w:tabs>
        <w:tab w:val="right" w:leader="dot" w:pos="9071"/>
      </w:tabs>
      <w:ind w:left="1701"/>
    </w:pPr>
  </w:style>
  <w:style w:type="paragraph" w:customStyle="1" w:styleId="ListAlpha">
    <w:name w:val="List Alpha"/>
    <w:basedOn w:val="List"/>
    <w:rsid w:val="002A39C2"/>
    <w:pPr>
      <w:numPr>
        <w:numId w:val="7"/>
      </w:numPr>
    </w:pPr>
  </w:style>
  <w:style w:type="paragraph" w:customStyle="1" w:styleId="ListAlpha2">
    <w:name w:val="List Alpha 2"/>
    <w:basedOn w:val="List2"/>
    <w:rsid w:val="002A39C2"/>
    <w:pPr>
      <w:numPr>
        <w:numId w:val="6"/>
      </w:numPr>
    </w:pPr>
  </w:style>
  <w:style w:type="paragraph" w:styleId="List2">
    <w:name w:val="List 2"/>
    <w:basedOn w:val="BodyText"/>
    <w:rsid w:val="002A39C2"/>
    <w:pPr>
      <w:tabs>
        <w:tab w:val="left" w:pos="680"/>
      </w:tabs>
      <w:spacing w:before="60" w:after="60"/>
      <w:ind w:left="680" w:hanging="340"/>
    </w:pPr>
  </w:style>
  <w:style w:type="paragraph" w:styleId="List3">
    <w:name w:val="List 3"/>
    <w:basedOn w:val="BodyText"/>
    <w:rsid w:val="002A39C2"/>
    <w:pPr>
      <w:tabs>
        <w:tab w:val="left" w:pos="1021"/>
      </w:tabs>
      <w:spacing w:before="60" w:after="60"/>
      <w:ind w:left="1020" w:hanging="340"/>
    </w:pPr>
  </w:style>
  <w:style w:type="paragraph" w:styleId="List4">
    <w:name w:val="List 4"/>
    <w:basedOn w:val="BodyText"/>
    <w:rsid w:val="002A39C2"/>
    <w:pPr>
      <w:tabs>
        <w:tab w:val="left" w:pos="1361"/>
      </w:tabs>
      <w:spacing w:before="60" w:after="60"/>
      <w:ind w:left="1361" w:hanging="340"/>
    </w:pPr>
  </w:style>
  <w:style w:type="paragraph" w:styleId="List5">
    <w:name w:val="List 5"/>
    <w:basedOn w:val="BodyText"/>
    <w:rsid w:val="002A39C2"/>
    <w:pPr>
      <w:tabs>
        <w:tab w:val="left" w:pos="1701"/>
      </w:tabs>
      <w:spacing w:before="60" w:after="60"/>
      <w:ind w:left="1701" w:hanging="340"/>
    </w:pPr>
  </w:style>
  <w:style w:type="paragraph" w:styleId="ListBullet3">
    <w:name w:val="List Bullet 3"/>
    <w:basedOn w:val="List3"/>
    <w:rsid w:val="002A39C2"/>
    <w:pPr>
      <w:numPr>
        <w:numId w:val="12"/>
      </w:numPr>
      <w:tabs>
        <w:tab w:val="clear" w:pos="1021"/>
      </w:tabs>
      <w:ind w:left="1037" w:hanging="357"/>
    </w:pPr>
  </w:style>
  <w:style w:type="paragraph" w:styleId="ListBullet4">
    <w:name w:val="List Bullet 4"/>
    <w:basedOn w:val="List4"/>
    <w:rsid w:val="002A39C2"/>
    <w:pPr>
      <w:numPr>
        <w:numId w:val="1"/>
      </w:numPr>
      <w:tabs>
        <w:tab w:val="clear" w:pos="1361"/>
      </w:tabs>
    </w:pPr>
  </w:style>
  <w:style w:type="paragraph" w:styleId="ListBullet5">
    <w:name w:val="List Bullet 5"/>
    <w:basedOn w:val="List5"/>
    <w:rsid w:val="002A39C2"/>
    <w:pPr>
      <w:numPr>
        <w:numId w:val="2"/>
      </w:numPr>
    </w:pPr>
  </w:style>
  <w:style w:type="paragraph" w:styleId="ListContinue2">
    <w:name w:val="List Continue 2"/>
    <w:basedOn w:val="List2"/>
    <w:rsid w:val="002A39C2"/>
    <w:pPr>
      <w:ind w:firstLine="0"/>
    </w:pPr>
  </w:style>
  <w:style w:type="paragraph" w:styleId="ListContinue3">
    <w:name w:val="List Continue 3"/>
    <w:basedOn w:val="List3"/>
    <w:rsid w:val="002A39C2"/>
    <w:pPr>
      <w:ind w:left="1021" w:firstLine="0"/>
    </w:pPr>
  </w:style>
  <w:style w:type="paragraph" w:styleId="ListContinue4">
    <w:name w:val="List Continue 4"/>
    <w:basedOn w:val="List4"/>
    <w:rsid w:val="002A39C2"/>
    <w:pPr>
      <w:ind w:firstLine="0"/>
    </w:pPr>
  </w:style>
  <w:style w:type="paragraph" w:styleId="ListContinue5">
    <w:name w:val="List Continue 5"/>
    <w:basedOn w:val="List5"/>
    <w:rsid w:val="002A39C2"/>
    <w:pPr>
      <w:ind w:firstLine="0"/>
    </w:pPr>
  </w:style>
  <w:style w:type="paragraph" w:styleId="ListNumber3">
    <w:name w:val="List Number 3"/>
    <w:basedOn w:val="List3"/>
    <w:rsid w:val="002A39C2"/>
    <w:pPr>
      <w:numPr>
        <w:numId w:val="3"/>
      </w:numPr>
    </w:pPr>
  </w:style>
  <w:style w:type="paragraph" w:styleId="ListNumber4">
    <w:name w:val="List Number 4"/>
    <w:basedOn w:val="List4"/>
    <w:rsid w:val="002A39C2"/>
    <w:pPr>
      <w:numPr>
        <w:numId w:val="4"/>
      </w:numPr>
    </w:pPr>
  </w:style>
  <w:style w:type="paragraph" w:styleId="ListNumber5">
    <w:name w:val="List Number 5"/>
    <w:basedOn w:val="List5"/>
    <w:rsid w:val="002A39C2"/>
    <w:pPr>
      <w:numPr>
        <w:numId w:val="5"/>
      </w:numPr>
    </w:pPr>
  </w:style>
  <w:style w:type="paragraph" w:styleId="BlockText">
    <w:name w:val="Block Text"/>
    <w:basedOn w:val="Normal"/>
    <w:rsid w:val="002A39C2"/>
    <w:pPr>
      <w:spacing w:after="120"/>
      <w:ind w:left="1440" w:right="1440"/>
    </w:pPr>
  </w:style>
  <w:style w:type="character" w:customStyle="1" w:styleId="Subscript">
    <w:name w:val="Subscript"/>
    <w:basedOn w:val="DefaultParagraphFont"/>
    <w:rsid w:val="002A39C2"/>
    <w:rPr>
      <w:sz w:val="16"/>
      <w:vertAlign w:val="subscript"/>
    </w:rPr>
  </w:style>
  <w:style w:type="character" w:customStyle="1" w:styleId="Superscript">
    <w:name w:val="Superscript"/>
    <w:basedOn w:val="DefaultParagraphFont"/>
    <w:rsid w:val="002A39C2"/>
    <w:rPr>
      <w:sz w:val="16"/>
      <w:vertAlign w:val="superscript"/>
    </w:rPr>
  </w:style>
  <w:style w:type="character" w:customStyle="1" w:styleId="Symbols">
    <w:name w:val="Symbols"/>
    <w:basedOn w:val="DefaultParagraphFont"/>
    <w:rsid w:val="002A39C2"/>
    <w:rPr>
      <w:rFonts w:ascii="Symbol" w:hAnsi="Symbol"/>
    </w:rPr>
  </w:style>
  <w:style w:type="character" w:customStyle="1" w:styleId="MenuOptions">
    <w:name w:val="Menu Options"/>
    <w:basedOn w:val="DefaultParagraphFont"/>
    <w:rsid w:val="002A39C2"/>
    <w:rPr>
      <w:rFonts w:ascii="Arial Narrow" w:hAnsi="Arial Narrow"/>
      <w:smallCaps/>
    </w:rPr>
  </w:style>
  <w:style w:type="character" w:customStyle="1" w:styleId="Buttons">
    <w:name w:val="Buttons"/>
    <w:basedOn w:val="DefaultParagraphFont"/>
    <w:rsid w:val="002A39C2"/>
    <w:rPr>
      <w:b/>
    </w:rPr>
  </w:style>
  <w:style w:type="character" w:customStyle="1" w:styleId="Underlined">
    <w:name w:val="Underlined"/>
    <w:basedOn w:val="DefaultParagraphFont"/>
    <w:rsid w:val="002A39C2"/>
    <w:rPr>
      <w:u w:val="single"/>
    </w:rPr>
  </w:style>
  <w:style w:type="paragraph" w:customStyle="1" w:styleId="TableBodyTextRight">
    <w:name w:val="Table Body Text Right"/>
    <w:basedOn w:val="TableBodyText"/>
    <w:rsid w:val="002A39C2"/>
    <w:pPr>
      <w:widowControl w:val="0"/>
      <w:autoSpaceDE w:val="0"/>
      <w:autoSpaceDN w:val="0"/>
      <w:adjustRightInd w:val="0"/>
      <w:jc w:val="right"/>
    </w:pPr>
    <w:rPr>
      <w:rFonts w:cs="Arial"/>
      <w:szCs w:val="18"/>
    </w:rPr>
  </w:style>
  <w:style w:type="paragraph" w:customStyle="1" w:styleId="CopyrightText">
    <w:name w:val="Copyright Text"/>
    <w:basedOn w:val="BodyText"/>
    <w:rsid w:val="002A39C2"/>
    <w:rPr>
      <w:sz w:val="18"/>
    </w:rPr>
  </w:style>
  <w:style w:type="paragraph" w:customStyle="1" w:styleId="BodySmallRight">
    <w:name w:val="Body Small Right"/>
    <w:basedOn w:val="BodyTextRight"/>
    <w:rsid w:val="002A39C2"/>
    <w:rPr>
      <w:sz w:val="18"/>
      <w:szCs w:val="18"/>
    </w:rPr>
  </w:style>
  <w:style w:type="paragraph" w:customStyle="1" w:styleId="MarginEdition">
    <w:name w:val="Margin Edition"/>
    <w:basedOn w:val="MarginNote"/>
    <w:rsid w:val="002A39C2"/>
    <w:pPr>
      <w:spacing w:before="0" w:after="0"/>
    </w:pPr>
    <w:rPr>
      <w:rFonts w:ascii="Times New Roman" w:hAnsi="Times New Roman"/>
      <w:color w:val="999999"/>
    </w:rPr>
  </w:style>
  <w:style w:type="paragraph" w:customStyle="1" w:styleId="Spacer">
    <w:name w:val="Spacer"/>
    <w:basedOn w:val="Normal"/>
    <w:rsid w:val="002A39C2"/>
    <w:rPr>
      <w:sz w:val="2"/>
      <w:szCs w:val="2"/>
    </w:rPr>
  </w:style>
  <w:style w:type="character" w:customStyle="1" w:styleId="Small">
    <w:name w:val="Small"/>
    <w:basedOn w:val="DefaultParagraphFont"/>
    <w:rsid w:val="002A39C2"/>
    <w:rPr>
      <w:sz w:val="16"/>
    </w:rPr>
  </w:style>
  <w:style w:type="paragraph" w:customStyle="1" w:styleId="WideTable">
    <w:name w:val="Wide Table"/>
    <w:basedOn w:val="Normal"/>
    <w:rsid w:val="002A39C2"/>
    <w:pPr>
      <w:ind w:left="-1418"/>
    </w:pPr>
    <w:rPr>
      <w:sz w:val="2"/>
      <w:szCs w:val="2"/>
    </w:rPr>
  </w:style>
  <w:style w:type="character" w:styleId="PageNumber">
    <w:name w:val="page number"/>
    <w:basedOn w:val="DefaultParagraphFont"/>
    <w:rsid w:val="002A39C2"/>
  </w:style>
  <w:style w:type="paragraph" w:styleId="Quote">
    <w:name w:val="Quote"/>
    <w:basedOn w:val="Heading1"/>
    <w:link w:val="QuoteChar"/>
    <w:qFormat/>
    <w:rsid w:val="002A39C2"/>
    <w:rPr>
      <w:b w:val="0"/>
      <w:sz w:val="72"/>
      <w:szCs w:val="72"/>
      <w:lang w:val="en-NZ"/>
    </w:rPr>
  </w:style>
  <w:style w:type="character" w:customStyle="1" w:styleId="QuoteChar">
    <w:name w:val="Quote Char"/>
    <w:basedOn w:val="DefaultParagraphFont"/>
    <w:link w:val="Quote"/>
    <w:rsid w:val="002A3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9C2"/>
    <w:pPr>
      <w:pageBreakBefore/>
    </w:pPr>
  </w:style>
  <w:style w:type="paragraph" w:customStyle="1" w:styleId="Border">
    <w:name w:val="Border"/>
    <w:basedOn w:val="Normal"/>
    <w:qFormat/>
    <w:rsid w:val="002A3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9C2"/>
    <w:rPr>
      <w:b/>
      <w:bCs/>
      <w:i/>
      <w:iCs/>
      <w:color w:val="auto"/>
    </w:rPr>
  </w:style>
  <w:style w:type="paragraph" w:styleId="IntenseQuote">
    <w:name w:val="Intense Quote"/>
    <w:basedOn w:val="Normal"/>
    <w:next w:val="Normal"/>
    <w:link w:val="IntenseQuoteChar"/>
    <w:uiPriority w:val="30"/>
    <w:qFormat/>
    <w:rsid w:val="002A3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9C2"/>
    <w:rPr>
      <w:smallCaps/>
      <w:color w:val="auto"/>
      <w:u w:val="single"/>
    </w:rPr>
  </w:style>
  <w:style w:type="character" w:styleId="IntenseReference">
    <w:name w:val="Intense Reference"/>
    <w:basedOn w:val="DefaultParagraphFont"/>
    <w:uiPriority w:val="32"/>
    <w:qFormat/>
    <w:rsid w:val="002A39C2"/>
    <w:rPr>
      <w:b/>
      <w:bCs/>
      <w:smallCaps/>
      <w:color w:val="auto"/>
      <w:spacing w:val="5"/>
      <w:u w:val="single"/>
    </w:rPr>
  </w:style>
  <w:style w:type="paragraph" w:customStyle="1" w:styleId="2ColumnHeading">
    <w:name w:val="2Column Heading"/>
    <w:basedOn w:val="BodyText"/>
    <w:qFormat/>
    <w:rsid w:val="002A39C2"/>
    <w:pPr>
      <w:spacing w:after="60"/>
      <w:ind w:left="-2268"/>
    </w:pPr>
    <w:rPr>
      <w:b/>
    </w:rPr>
  </w:style>
  <w:style w:type="paragraph" w:customStyle="1" w:styleId="Heading1TOC">
    <w:name w:val="Heading1 TOC"/>
    <w:basedOn w:val="Normal"/>
    <w:qFormat/>
    <w:rsid w:val="002A39C2"/>
    <w:pPr>
      <w:spacing w:before="240" w:after="120"/>
    </w:pPr>
    <w:rPr>
      <w:rFonts w:ascii="Times New Roman" w:hAnsi="Times New Roman"/>
      <w:b/>
      <w:sz w:val="32"/>
    </w:rPr>
  </w:style>
  <w:style w:type="paragraph" w:customStyle="1" w:styleId="Heading2TOC">
    <w:name w:val="Heading2 TOC"/>
    <w:basedOn w:val="Normal"/>
    <w:qFormat/>
    <w:rsid w:val="002A39C2"/>
    <w:pPr>
      <w:spacing w:before="240" w:after="60"/>
    </w:pPr>
    <w:rPr>
      <w:rFonts w:ascii="Times New Roman" w:hAnsi="Times New Roman"/>
      <w:b/>
      <w:sz w:val="28"/>
    </w:rPr>
  </w:style>
  <w:style w:type="character" w:customStyle="1" w:styleId="Underline">
    <w:name w:val="Underline"/>
    <w:basedOn w:val="DefaultParagraphFont"/>
    <w:qFormat/>
    <w:rsid w:val="002A39C2"/>
    <w:rPr>
      <w:u w:val="single"/>
    </w:rPr>
  </w:style>
  <w:style w:type="character" w:customStyle="1" w:styleId="BoldandItalics">
    <w:name w:val="Bold and Italics"/>
    <w:qFormat/>
    <w:rsid w:val="002A39C2"/>
    <w:rPr>
      <w:b/>
      <w:i/>
      <w:u w:val="none"/>
    </w:rPr>
  </w:style>
  <w:style w:type="paragraph" w:styleId="BalloonText">
    <w:name w:val="Balloon Text"/>
    <w:basedOn w:val="Normal"/>
    <w:link w:val="BalloonTextChar"/>
    <w:rsid w:val="002A39C2"/>
    <w:rPr>
      <w:rFonts w:ascii="Tahoma" w:hAnsi="Tahoma" w:cs="Tahoma"/>
      <w:sz w:val="16"/>
      <w:szCs w:val="16"/>
    </w:rPr>
  </w:style>
  <w:style w:type="character" w:customStyle="1" w:styleId="BalloonTextChar">
    <w:name w:val="Balloon Text Char"/>
    <w:basedOn w:val="DefaultParagraphFont"/>
    <w:link w:val="BalloonText"/>
    <w:rsid w:val="002A3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9C2"/>
    <w:rPr>
      <w:b/>
      <w:color w:val="660033"/>
      <w:spacing w:val="0"/>
    </w:rPr>
  </w:style>
  <w:style w:type="paragraph" w:customStyle="1" w:styleId="Nameditemlist">
    <w:name w:val="Named item list"/>
    <w:basedOn w:val="BodyText"/>
    <w:qFormat/>
    <w:rsid w:val="002A39C2"/>
    <w:pPr>
      <w:tabs>
        <w:tab w:val="left" w:pos="2835"/>
      </w:tabs>
      <w:ind w:left="2835" w:hanging="2835"/>
    </w:pPr>
  </w:style>
  <w:style w:type="paragraph" w:customStyle="1" w:styleId="BodyTextnopadding">
    <w:name w:val="Body Text no padding"/>
    <w:basedOn w:val="BodyText"/>
    <w:qFormat/>
    <w:rsid w:val="002A39C2"/>
    <w:pPr>
      <w:spacing w:before="0" w:after="0"/>
    </w:pPr>
  </w:style>
  <w:style w:type="character" w:styleId="Hyperlink">
    <w:name w:val="Hyperlink"/>
    <w:basedOn w:val="DefaultParagraphFont"/>
    <w:uiPriority w:val="99"/>
    <w:unhideWhenUsed/>
    <w:rsid w:val="005B3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3803</Characters>
  <Application>Microsoft Office Word</Application>
  <DocSecurity>0</DocSecurity>
  <Lines>115</Lines>
  <Paragraphs>63</Paragraphs>
  <ScaleCrop>false</ScaleCrop>
  <Company>Author-it Software Corporation Ltd.</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HLTCCD001 Apply an understanding of the health care system to clinical coding practice</dc:title>
  <dc:subject>Approved</dc:subject>
  <dc:creator>SkillsIQ</dc:creator>
  <cp:keywords>Release: 2</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