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373" w:rsidP="00ED0373">
      <w:pPr>
        <w:pStyle w:val="Title"/>
      </w:pPr>
      <w:r>
        <w:fldChar w:fldCharType="begin"/>
      </w:r>
      <w:r>
        <w:instrText xml:space="preserve"> TITLE   \* MERGEFORMAT </w:instrText>
      </w:r>
      <w:r>
        <w:fldChar w:fldCharType="separate"/>
      </w:r>
      <w:r>
        <w:t>HLTCCD001 Apply an understanding of the health care system to clinical coding practice</w:t>
      </w:r>
      <w:r>
        <w:fldChar w:fldCharType="end"/>
      </w:r>
    </w:p>
    <w:p w:rsidR="00ED0373" w:rsidP="00ED0373">
      <w:pPr>
        <w:pStyle w:val="Version"/>
        <w:sectPr w:rsidSect="00C718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180F" w:rsidP="00C7180F">
      <w:pPr>
        <w:pStyle w:val="SuperHeading"/>
      </w:pPr>
      <w:r w:rsidRPr="00C7180F">
        <w:t>HLTCCD001 Apply an understanding of the health care system to clinical coding practice</w:t>
      </w:r>
    </w:p>
    <w:p w:rsidR="00000000" w:rsidRPr="00C7180F" w:rsidP="00C7180F">
      <w:pPr>
        <w:pStyle w:val="Heading1"/>
      </w:pPr>
      <w:bookmarkStart w:id="1" w:name="O_1200180"/>
      <w:bookmarkEnd w:id="1"/>
      <w:r w:rsidRPr="00C7180F">
        <w:t>Modification History</w:t>
      </w:r>
    </w:p>
    <w:tbl>
      <w:tblPr>
        <w:tblW w:w="0" w:type="auto"/>
        <w:tblLayout w:type="fixed"/>
        <w:tblCellMar>
          <w:left w:w="62" w:type="dxa"/>
          <w:right w:w="62" w:type="dxa"/>
        </w:tblCellMar>
        <w:tblLook w:val="0000"/>
      </w:tblPr>
      <w:tblGrid>
        <w:gridCol w:w="3050"/>
        <w:gridCol w:w="6074"/>
      </w:tblGrid>
      <w:tr w:rsidTr="00C7180F">
        <w:tblPrEx>
          <w:tblW w:w="0" w:type="auto"/>
          <w:tblLayout w:type="fixed"/>
          <w:tblCellMar>
            <w:left w:w="62" w:type="dxa"/>
            <w:right w:w="62" w:type="dxa"/>
          </w:tblCellMar>
          <w:tblLook w:val="0000"/>
        </w:tblPrEx>
        <w:tc>
          <w:tcPr>
            <w:tcW w:w="305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7180F" w:rsidP="00C7180F">
            <w:pPr>
              <w:pStyle w:val="BodyTextBold"/>
            </w:pPr>
            <w:r w:rsidRPr="00C718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180F">
            <w:pPr>
              <w:pStyle w:val="BodyTextBold"/>
              <w:rPr>
                <w:lang w:val="en-NZ"/>
              </w:rPr>
            </w:pPr>
            <w:r w:rsidRPr="00C7180F">
              <w:rPr>
                <w:rStyle w:val="SpecialBold"/>
              </w:rPr>
              <w:t>Comments</w:t>
            </w:r>
          </w:p>
        </w:tc>
      </w:tr>
      <w:tr w:rsidTr="00C7180F">
        <w:tblPrEx>
          <w:tblW w:w="0" w:type="auto"/>
          <w:tblLayout w:type="fixed"/>
          <w:tblCellMar>
            <w:left w:w="62" w:type="dxa"/>
            <w:right w:w="62" w:type="dxa"/>
          </w:tblCellMar>
          <w:tblLook w:val="0000"/>
        </w:tblPrEx>
        <w:tc>
          <w:tcPr>
            <w:tcW w:w="305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180F">
            <w:pPr>
              <w:pStyle w:val="BodyText"/>
              <w:rPr>
                <w:lang w:val="en-NZ"/>
              </w:rPr>
            </w:pPr>
            <w:r w:rsidRPr="00C718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180F" w:rsidP="00C7180F">
            <w:pPr>
              <w:pStyle w:val="BodyText"/>
            </w:pPr>
            <w:r w:rsidRPr="00C7180F">
              <w:t>Release 2 HLTCCD001 Apply an understanding of the health care system to clinical coding practice supersedes and is equivalent to Release 1 HLTCCD001 Apply an understanding of the health care system to clinical coding practice.</w:t>
            </w:r>
          </w:p>
          <w:p w:rsidR="00000000" w:rsidRPr="00C7180F" w:rsidP="00C7180F">
            <w:pPr>
              <w:pStyle w:val="BodyText"/>
            </w:pPr>
            <w:r w:rsidRPr="00C7180F">
              <w:t>Updated:</w:t>
            </w:r>
          </w:p>
          <w:p w:rsidR="00000000" w:rsidP="00C7180F">
            <w:pPr>
              <w:pStyle w:val="BodyText"/>
              <w:rPr>
                <w:lang w:val="en-NZ"/>
              </w:rPr>
            </w:pPr>
            <w:r w:rsidRPr="00C7180F">
              <w:t xml:space="preserve">Mapping details and </w:t>
            </w:r>
            <w:r w:rsidRPr="00C7180F">
              <w:t>minor corrections.</w:t>
            </w:r>
          </w:p>
        </w:tc>
      </w:tr>
      <w:tr w:rsidTr="00C7180F">
        <w:tblPrEx>
          <w:tblW w:w="0" w:type="auto"/>
          <w:tblLayout w:type="fixed"/>
          <w:tblCellMar>
            <w:left w:w="62" w:type="dxa"/>
            <w:right w:w="62" w:type="dxa"/>
          </w:tblCellMar>
          <w:tblLook w:val="0000"/>
        </w:tblPrEx>
        <w:tc>
          <w:tcPr>
            <w:tcW w:w="305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180F">
            <w:pPr>
              <w:pStyle w:val="BodyText"/>
              <w:rPr>
                <w:lang w:val="en-NZ"/>
              </w:rPr>
            </w:pPr>
            <w:r w:rsidRPr="00C718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180F" w:rsidP="00C7180F">
            <w:pPr>
              <w:pStyle w:val="BodyText"/>
            </w:pPr>
            <w:r w:rsidRPr="00C7180F">
              <w:t>HLTCCD001 Apply an understanding of the health care system to clinical coding practice no equivalent unit.</w:t>
            </w:r>
          </w:p>
        </w:tc>
      </w:tr>
    </w:tbl>
    <w:p w:rsidR="00ED0373" w:rsidP="00C7180F">
      <w:pPr>
        <w:pStyle w:val="BodyText"/>
      </w:pPr>
    </w:p>
    <w:p w:rsidR="00ED0373" w:rsidP="00C7180F">
      <w:pPr>
        <w:pStyle w:val="BodyText"/>
      </w:pPr>
    </w:p>
    <w:p w:rsidR="00000000" w:rsidRPr="00C7180F" w:rsidP="00C7180F">
      <w:pPr>
        <w:pStyle w:val="Heading1"/>
      </w:pPr>
      <w:bookmarkStart w:id="2" w:name="O_1200179"/>
      <w:bookmarkEnd w:id="2"/>
      <w:r w:rsidRPr="00C7180F">
        <w:t>Application</w:t>
      </w:r>
    </w:p>
    <w:p w:rsidR="00000000" w:rsidRPr="00C7180F" w:rsidP="00ED0373">
      <w:pPr>
        <w:pStyle w:val="BodyText"/>
      </w:pPr>
      <w:r w:rsidRPr="00C7180F">
        <w:t>This unit describes the performan</w:t>
      </w:r>
      <w:r w:rsidRPr="00C7180F">
        <w:t>ce outcomes, skills and knowledge required to apply an understanding of the health care system to clinical coding job roles. It includes applying an understanding of the regulatory and legislative frameworks, health care funding mechanisms and the structur</w:t>
      </w:r>
      <w:r w:rsidRPr="00C7180F">
        <w:t xml:space="preserve">e of the health care system to inform clinical coding practices. </w:t>
      </w:r>
    </w:p>
    <w:p w:rsidR="00000000" w:rsidRPr="00C7180F" w:rsidP="00ED0373">
      <w:pPr>
        <w:pStyle w:val="BodyText"/>
      </w:pPr>
      <w:r w:rsidRPr="00C7180F">
        <w:t>This unit applies to clinical coders who are responsible for interpreting and extracting patient clinical information for the purposes of clinical coding. Work may be performed as an individ</w:t>
      </w:r>
      <w:r w:rsidRPr="00C7180F">
        <w:t>ual and as part of a team under limited supervision.</w:t>
      </w:r>
    </w:p>
    <w:p w:rsidR="00000000" w:rsidRPr="00C7180F" w:rsidP="00ED0373">
      <w:pPr>
        <w:pStyle w:val="BodyText"/>
      </w:pPr>
      <w:r w:rsidRPr="00C7180F">
        <w:t>The skills in this unit must be applied in accordance with Commonwealth and State/Territory legislation, Australian standards and industry codes of practice.</w:t>
      </w:r>
    </w:p>
    <w:p w:rsidR="00000000" w:rsidRPr="00C7180F" w:rsidP="00ED0373">
      <w:pPr>
        <w:pStyle w:val="BodyText"/>
      </w:pPr>
      <w:r w:rsidRPr="00C7180F">
        <w:t>No occupational licensing, certification or s</w:t>
      </w:r>
      <w:r w:rsidRPr="00C7180F">
        <w:t>pecific legislative requirements apply to this unit at the time of publication.</w:t>
      </w:r>
    </w:p>
    <w:p w:rsidR="00000000" w:rsidRPr="00C7180F" w:rsidP="00C7180F">
      <w:pPr>
        <w:pStyle w:val="Heading1"/>
      </w:pPr>
      <w:bookmarkStart w:id="3" w:name="O_1200178"/>
      <w:bookmarkEnd w:id="3"/>
      <w:r w:rsidRPr="00C7180F">
        <w:t>Pre-requisite Unit</w:t>
      </w:r>
    </w:p>
    <w:p w:rsidR="00000000" w:rsidRPr="00C7180F" w:rsidP="00ED0373">
      <w:pPr>
        <w:pStyle w:val="BodyText"/>
      </w:pPr>
      <w:r w:rsidRPr="00C7180F">
        <w:t>Nil</w:t>
      </w:r>
    </w:p>
    <w:p w:rsidR="00000000" w:rsidRPr="00C7180F" w:rsidP="00C7180F">
      <w:pPr>
        <w:pStyle w:val="Heading1"/>
      </w:pPr>
      <w:bookmarkStart w:id="4" w:name="O_1200177"/>
      <w:bookmarkEnd w:id="4"/>
      <w:r w:rsidRPr="00C7180F">
        <w:t>Competency Field</w:t>
      </w:r>
    </w:p>
    <w:p w:rsidR="00ED0373" w:rsidP="00ED0373">
      <w:pPr>
        <w:pStyle w:val="BodyText"/>
      </w:pPr>
      <w:r w:rsidRPr="00C7180F">
        <w:t>Clinical Coding</w:t>
      </w:r>
    </w:p>
    <w:p w:rsidR="00000000" w:rsidRPr="00C7180F" w:rsidP="00C7180F">
      <w:pPr>
        <w:pStyle w:val="Heading1"/>
      </w:pPr>
      <w:bookmarkStart w:id="5" w:name="O_1200176"/>
      <w:bookmarkEnd w:id="5"/>
      <w:r w:rsidRPr="00C7180F">
        <w:t>Unit Sector</w:t>
      </w:r>
    </w:p>
    <w:p w:rsidR="00ED0373" w:rsidP="00ED0373">
      <w:pPr>
        <w:pStyle w:val="BodyText"/>
      </w:pPr>
      <w:r w:rsidRPr="00C7180F">
        <w:t>Health Administration</w:t>
      </w:r>
    </w:p>
    <w:p w:rsidR="00000000" w:rsidRPr="00C7180F" w:rsidP="00C7180F">
      <w:pPr>
        <w:pStyle w:val="Heading1"/>
      </w:pPr>
      <w:bookmarkStart w:id="6" w:name="O_1200175"/>
      <w:bookmarkEnd w:id="6"/>
      <w:r w:rsidRPr="00C7180F">
        <w:t>Elements and Performance Criteria</w:t>
      </w:r>
    </w:p>
    <w:tbl>
      <w:tblPr>
        <w:tblW w:w="0" w:type="auto"/>
        <w:tblCellMar>
          <w:left w:w="62" w:type="dxa"/>
          <w:right w:w="62" w:type="dxa"/>
        </w:tblCellMar>
        <w:tblLook w:val="0000"/>
      </w:tblPr>
      <w:tblGrid>
        <w:gridCol w:w="2557"/>
        <w:gridCol w:w="6639"/>
      </w:tblGrid>
      <w:tr w:rsidTr="00ED0373">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C7180F" w:rsidP="00C7180F">
            <w:pPr>
              <w:pStyle w:val="BodyText"/>
            </w:pPr>
            <w:r w:rsidRPr="00C7180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7180F">
            <w:pPr>
              <w:pStyle w:val="BodyText"/>
              <w:rPr>
                <w:lang w:val="en-NZ"/>
              </w:rPr>
            </w:pPr>
            <w:r w:rsidRPr="00C7180F">
              <w:rPr>
                <w:rStyle w:val="SpecialBold"/>
              </w:rPr>
              <w:t>PERFORMANCE</w:t>
            </w:r>
            <w:r w:rsidRPr="00C7180F">
              <w:t xml:space="preserve"> </w:t>
            </w:r>
            <w:r w:rsidRPr="00C7180F">
              <w:rPr>
                <w:rStyle w:val="SpecialBold"/>
              </w:rPr>
              <w:t>CRITERIA</w:t>
            </w:r>
          </w:p>
        </w:tc>
      </w:tr>
      <w:tr w:rsidTr="00ED0373">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C7180F" w:rsidP="00C7180F">
            <w:pPr>
              <w:pStyle w:val="BodyText"/>
            </w:pPr>
            <w:r w:rsidRPr="00C7180F">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7180F">
            <w:pPr>
              <w:pStyle w:val="BodyText"/>
              <w:rPr>
                <w:lang w:val="en-NZ"/>
              </w:rPr>
            </w:pPr>
            <w:r w:rsidRPr="00C7180F">
              <w:rPr>
                <w:rStyle w:val="Emphasis"/>
              </w:rPr>
              <w:t>Performance criteria describe the performance needed to demonstrate achievement of the element.</w:t>
            </w:r>
          </w:p>
        </w:tc>
      </w:tr>
      <w:tr w:rsidTr="00ED0373">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C7180F">
            <w:pPr>
              <w:pStyle w:val="List"/>
              <w:rPr>
                <w:lang w:val="en-NZ"/>
              </w:rPr>
            </w:pPr>
            <w:r w:rsidRPr="00C7180F">
              <w:t>1.  Identify significant factors affecting clinical c</w:t>
            </w:r>
            <w:r w:rsidRPr="00C7180F">
              <w:t>oding work.</w:t>
            </w:r>
          </w:p>
        </w:tc>
        <w:tc>
          <w:tcPr>
            <w:tcW w:w="0" w:type="auto"/>
            <w:tcBorders>
              <w:top w:val="nil"/>
              <w:left w:val="nil"/>
              <w:bottom w:val="nil"/>
              <w:right w:val="nil"/>
            </w:tcBorders>
            <w:tcMar>
              <w:top w:w="0" w:type="dxa"/>
              <w:left w:w="62" w:type="dxa"/>
              <w:bottom w:w="0" w:type="dxa"/>
              <w:right w:w="62" w:type="dxa"/>
            </w:tcMar>
          </w:tcPr>
          <w:p w:rsidR="00000000" w:rsidRPr="00C7180F" w:rsidP="00C7180F">
            <w:pPr>
              <w:pStyle w:val="List"/>
            </w:pPr>
            <w:r w:rsidRPr="00C7180F">
              <w:t>1.1. Identify key stakeholders and their role in health care service delivery.</w:t>
            </w:r>
          </w:p>
          <w:p w:rsidR="00000000" w:rsidP="00C7180F">
            <w:pPr>
              <w:pStyle w:val="List"/>
              <w:rPr>
                <w:lang w:val="en-NZ"/>
              </w:rPr>
            </w:pPr>
            <w:r w:rsidRPr="00C7180F">
              <w:t>1.2. Identify external factors that impact the health care system and their influence on clinical coding outcomes.</w:t>
            </w:r>
          </w:p>
        </w:tc>
      </w:tr>
      <w:tr w:rsidTr="00ED0373">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C7180F">
            <w:pPr>
              <w:pStyle w:val="List"/>
              <w:rPr>
                <w:lang w:val="en-NZ"/>
              </w:rPr>
            </w:pPr>
            <w:r w:rsidRPr="00C7180F">
              <w:t xml:space="preserve">2.  Identify the legislative and regulatory frameworks. </w:t>
            </w:r>
          </w:p>
        </w:tc>
        <w:tc>
          <w:tcPr>
            <w:tcW w:w="0" w:type="auto"/>
            <w:tcBorders>
              <w:top w:val="nil"/>
              <w:left w:val="nil"/>
              <w:bottom w:val="nil"/>
              <w:right w:val="nil"/>
            </w:tcBorders>
            <w:tcMar>
              <w:top w:w="0" w:type="dxa"/>
              <w:left w:w="62" w:type="dxa"/>
              <w:bottom w:w="0" w:type="dxa"/>
              <w:right w:w="62" w:type="dxa"/>
            </w:tcMar>
          </w:tcPr>
          <w:p w:rsidR="00000000" w:rsidRPr="00C7180F" w:rsidP="00C7180F">
            <w:pPr>
              <w:pStyle w:val="List"/>
            </w:pPr>
            <w:r w:rsidRPr="00C7180F">
              <w:t xml:space="preserve">2.1. Research the scope, structure and functions of public and private health care service providers and identify relevant statutory and government reporting requirements for coded clinical data. </w:t>
            </w:r>
          </w:p>
          <w:p w:rsidR="00000000" w:rsidRPr="00C7180F" w:rsidP="00C7180F">
            <w:pPr>
              <w:pStyle w:val="List"/>
            </w:pPr>
            <w:r w:rsidRPr="00C7180F">
              <w:t>2.</w:t>
            </w:r>
            <w:r w:rsidRPr="00C7180F">
              <w:t>2. Identify national and jurisdictional agreements, legislation and policies that relate to clinical coding practices.</w:t>
            </w:r>
          </w:p>
          <w:p w:rsidR="00000000" w:rsidP="00C7180F">
            <w:pPr>
              <w:pStyle w:val="List"/>
              <w:rPr>
                <w:lang w:val="en-NZ"/>
              </w:rPr>
            </w:pPr>
            <w:r w:rsidRPr="00C7180F">
              <w:t>2.3. Analyse the impact of identified legislative and regulatory frameworks and policies on coded clinical data.</w:t>
            </w:r>
          </w:p>
        </w:tc>
      </w:tr>
      <w:tr w:rsidTr="00ED0373">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P="00C7180F">
            <w:pPr>
              <w:pStyle w:val="List"/>
              <w:rPr>
                <w:lang w:val="en-NZ"/>
              </w:rPr>
            </w:pPr>
            <w:r w:rsidRPr="00C7180F">
              <w:t>3.  Analyse impact of h</w:t>
            </w:r>
            <w:r w:rsidRPr="00C7180F">
              <w:t>ealth care worker roles and patient journeys on clinical coding.</w:t>
            </w:r>
          </w:p>
        </w:tc>
        <w:tc>
          <w:tcPr>
            <w:tcW w:w="0" w:type="auto"/>
            <w:tcBorders>
              <w:top w:val="nil"/>
              <w:left w:val="nil"/>
              <w:bottom w:val="nil"/>
              <w:right w:val="nil"/>
            </w:tcBorders>
            <w:tcMar>
              <w:top w:w="0" w:type="dxa"/>
              <w:left w:w="62" w:type="dxa"/>
              <w:bottom w:w="0" w:type="dxa"/>
              <w:right w:w="62" w:type="dxa"/>
            </w:tcMar>
          </w:tcPr>
          <w:p w:rsidR="00000000" w:rsidRPr="00C7180F" w:rsidP="00C7180F">
            <w:pPr>
              <w:pStyle w:val="List"/>
            </w:pPr>
            <w:r w:rsidRPr="00C7180F">
              <w:t>3.1. Identify the different roles and scope of practice of health care service professionals and how they interact to achieve patient outcomes.</w:t>
            </w:r>
          </w:p>
          <w:p w:rsidR="00000000" w:rsidRPr="00C7180F" w:rsidP="00C7180F">
            <w:pPr>
              <w:pStyle w:val="List"/>
            </w:pPr>
            <w:r w:rsidRPr="00C7180F">
              <w:t>3.2. Identify the responsibilities, communicati</w:t>
            </w:r>
            <w:r w:rsidRPr="00C7180F">
              <w:t>on channels and key organisational structures of health care service environments.</w:t>
            </w:r>
          </w:p>
          <w:p w:rsidR="00000000" w:rsidRPr="00C7180F" w:rsidP="00C7180F">
            <w:pPr>
              <w:pStyle w:val="List"/>
            </w:pPr>
            <w:r w:rsidRPr="00C7180F">
              <w:t>3.3. Identify how different health care service environments and various clinical disciplines influence the patient journey and patient management pathways.</w:t>
            </w:r>
          </w:p>
          <w:p w:rsidR="00000000" w:rsidP="00C7180F">
            <w:pPr>
              <w:pStyle w:val="List"/>
              <w:rPr>
                <w:lang w:val="en-NZ"/>
              </w:rPr>
            </w:pPr>
            <w:r w:rsidRPr="00C7180F">
              <w:t>3.4. Analyse imp</w:t>
            </w:r>
            <w:r w:rsidRPr="00C7180F">
              <w:t>acts of distinct patient management pathways on clinical coding.</w:t>
            </w:r>
          </w:p>
        </w:tc>
      </w:tr>
      <w:tr w:rsidTr="00ED0373">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P="00C7180F">
            <w:pPr>
              <w:pStyle w:val="List"/>
              <w:rPr>
                <w:lang w:val="en-NZ"/>
              </w:rPr>
            </w:pPr>
            <w:r w:rsidRPr="00C7180F">
              <w:t>4.  Investigate the relationship between funding and clinical coding.</w:t>
            </w:r>
          </w:p>
        </w:tc>
        <w:tc>
          <w:tcPr>
            <w:tcW w:w="0" w:type="auto"/>
            <w:tcBorders>
              <w:top w:val="nil"/>
              <w:left w:val="nil"/>
              <w:bottom w:val="nil"/>
              <w:right w:val="nil"/>
            </w:tcBorders>
            <w:tcMar>
              <w:top w:w="0" w:type="dxa"/>
              <w:left w:w="62" w:type="dxa"/>
              <w:bottom w:w="0" w:type="dxa"/>
              <w:right w:w="62" w:type="dxa"/>
            </w:tcMar>
          </w:tcPr>
          <w:p w:rsidR="00000000" w:rsidRPr="00C7180F" w:rsidP="00C7180F">
            <w:pPr>
              <w:pStyle w:val="List"/>
            </w:pPr>
            <w:r w:rsidRPr="00C7180F">
              <w:t>4.1. Determine current classifications, sources and models of funding for health care service providers.</w:t>
            </w:r>
          </w:p>
          <w:p w:rsidR="00000000" w:rsidP="00C7180F">
            <w:pPr>
              <w:pStyle w:val="List"/>
              <w:rPr>
                <w:lang w:val="en-NZ"/>
              </w:rPr>
            </w:pPr>
            <w:r w:rsidRPr="00C7180F">
              <w:t>4.2. Identify the principles of funding models and their impact on clinical coding work.</w:t>
            </w:r>
          </w:p>
        </w:tc>
      </w:tr>
      <w:tr w:rsidTr="00ED0373">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C7180F">
            <w:pPr>
              <w:pStyle w:val="List"/>
              <w:rPr>
                <w:lang w:val="en-NZ"/>
              </w:rPr>
            </w:pPr>
            <w:r w:rsidRPr="00C7180F">
              <w:t>5.  Identify the usage of coded clinical data.</w:t>
            </w:r>
          </w:p>
        </w:tc>
        <w:tc>
          <w:tcPr>
            <w:tcW w:w="0" w:type="auto"/>
            <w:tcBorders>
              <w:top w:val="nil"/>
              <w:left w:val="nil"/>
              <w:bottom w:val="nil"/>
              <w:right w:val="nil"/>
            </w:tcBorders>
            <w:tcMar>
              <w:top w:w="0" w:type="dxa"/>
              <w:left w:w="62" w:type="dxa"/>
              <w:bottom w:w="0" w:type="dxa"/>
              <w:right w:w="62" w:type="dxa"/>
            </w:tcMar>
          </w:tcPr>
          <w:p w:rsidR="00000000" w:rsidRPr="00C7180F" w:rsidP="00C7180F">
            <w:pPr>
              <w:pStyle w:val="List"/>
            </w:pPr>
            <w:r w:rsidRPr="00C7180F">
              <w:t>5.1. Identify national and local organisations that provide guidance, direction and influence clinical coders’ work act</w:t>
            </w:r>
            <w:r w:rsidRPr="00C7180F">
              <w:t>ivities.</w:t>
            </w:r>
          </w:p>
          <w:p w:rsidR="00000000" w:rsidRPr="00C7180F" w:rsidP="00C7180F">
            <w:pPr>
              <w:pStyle w:val="List"/>
            </w:pPr>
            <w:r w:rsidRPr="00C7180F">
              <w:t>5.2. Determine how coded clinical data is used to facilitate clinical research, health service planning, improved patient outcomes and safety.</w:t>
            </w:r>
          </w:p>
          <w:p w:rsidR="00000000" w:rsidRPr="00C7180F" w:rsidP="00C7180F">
            <w:pPr>
              <w:pStyle w:val="List"/>
            </w:pPr>
            <w:r w:rsidRPr="00C7180F">
              <w:t>5.3. Determine expected timeframe and accuracy rate for completion of coded clinical data according to s</w:t>
            </w:r>
            <w:r w:rsidRPr="00C7180F">
              <w:t>tatutory, government and organisational requirements.</w:t>
            </w:r>
          </w:p>
        </w:tc>
      </w:tr>
    </w:tbl>
    <w:p w:rsidR="00000000" w:rsidRPr="00C7180F" w:rsidP="00C7180F">
      <w:pPr>
        <w:pStyle w:val="BodyText"/>
      </w:pPr>
    </w:p>
    <w:p w:rsidR="00000000" w:rsidRPr="00C7180F" w:rsidP="00C7180F">
      <w:pPr>
        <w:pStyle w:val="AllowPageBreak"/>
      </w:pPr>
    </w:p>
    <w:p w:rsidR="00000000" w:rsidRPr="00C7180F" w:rsidP="00C7180F">
      <w:pPr>
        <w:pStyle w:val="Heading1"/>
      </w:pPr>
      <w:bookmarkStart w:id="7" w:name="O_1200174"/>
      <w:bookmarkEnd w:id="7"/>
      <w:r w:rsidRPr="00C7180F">
        <w:t>Foundation Skills</w:t>
      </w:r>
    </w:p>
    <w:p w:rsidR="00000000" w:rsidRPr="00C7180F" w:rsidP="00ED0373">
      <w:pPr>
        <w:pStyle w:val="BodyText"/>
      </w:pPr>
      <w:r w:rsidRPr="00C7180F">
        <w:t>Foundation skills essential to performance are explicit in the performance criteria of this unit of competency.</w:t>
      </w:r>
    </w:p>
    <w:p w:rsidR="00000000" w:rsidRPr="00C7180F" w:rsidP="00C7180F">
      <w:pPr>
        <w:pStyle w:val="Heading1"/>
      </w:pPr>
      <w:bookmarkStart w:id="8" w:name="O_1200173"/>
      <w:bookmarkEnd w:id="8"/>
      <w:r w:rsidRPr="00C7180F">
        <w:t>Unit Mapping Information</w:t>
      </w:r>
    </w:p>
    <w:p w:rsidR="00000000" w:rsidRPr="00C7180F" w:rsidP="00ED0373">
      <w:pPr>
        <w:pStyle w:val="BodyText"/>
      </w:pPr>
      <w:r w:rsidRPr="00C7180F">
        <w:t>No Equivalent Unit</w:t>
      </w:r>
    </w:p>
    <w:p w:rsidR="00000000" w:rsidRPr="00C7180F" w:rsidP="00C7180F">
      <w:pPr>
        <w:pStyle w:val="Heading1"/>
      </w:pPr>
      <w:bookmarkStart w:id="9" w:name="O_1200181"/>
      <w:bookmarkEnd w:id="9"/>
      <w:r w:rsidRPr="00C7180F">
        <w:t>Links</w:t>
      </w:r>
    </w:p>
    <w:p w:rsidR="00000000" w:rsidRPr="00C7180F" w:rsidP="00ED0373">
      <w:pPr>
        <w:pStyle w:val="BodyText"/>
      </w:pPr>
      <w:r w:rsidRPr="00C718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1D95">
        <w:rPr>
          <w:rStyle w:val="Hyperlink"/>
        </w:rPr>
        <w:t>https://vetnet.gov.au/Pages/TrainingDocs.aspx?q=ced1390f-48d9-4ab0-bd50-b015e5485705</w:t>
      </w:r>
      <w:r>
        <w:fldChar w:fldCharType="end"/>
      </w:r>
    </w:p>
    <w:p w:rsidR="00000000" w:rsidRPr="00C7180F" w:rsidP="00ED0373">
      <w:pPr>
        <w:pStyle w:val="BodyText"/>
        <w:sectPr w:rsidSect="00C7180F">
          <w:headerReference w:type="default" r:id="rId10"/>
          <w:footerReference w:type="default" r:id="rId11"/>
          <w:pgSz w:w="11908" w:h="16833"/>
          <w:pgMar w:top="1702" w:right="1418" w:bottom="1702" w:left="1418" w:header="992" w:footer="992" w:gutter="0"/>
          <w:cols w:space="720"/>
          <w:noEndnote/>
          <w:docGrid w:linePitch="299"/>
        </w:sectPr>
      </w:pPr>
    </w:p>
    <w:p w:rsidR="00000000" w:rsidRPr="00C7180F" w:rsidP="00C7180F">
      <w:pPr>
        <w:pStyle w:val="SuperHeading"/>
      </w:pPr>
      <w:r w:rsidRPr="00C7180F">
        <w:t xml:space="preserve">Assessment </w:t>
      </w:r>
      <w:r w:rsidRPr="00C7180F">
        <w:t>Requirements for HLTCCD001 Apply an understanding of the health care system to clinical coding practice</w:t>
      </w:r>
    </w:p>
    <w:p w:rsidR="00000000" w:rsidRPr="00C7180F" w:rsidP="00C7180F">
      <w:pPr>
        <w:pStyle w:val="Heading1"/>
      </w:pPr>
      <w:bookmarkStart w:id="10" w:name="O_1200171"/>
      <w:bookmarkEnd w:id="10"/>
      <w:r w:rsidRPr="00C7180F">
        <w:t>Modification History</w:t>
      </w:r>
    </w:p>
    <w:tbl>
      <w:tblPr>
        <w:tblW w:w="0" w:type="auto"/>
        <w:tblLayout w:type="fixed"/>
        <w:tblCellMar>
          <w:left w:w="62" w:type="dxa"/>
          <w:right w:w="62" w:type="dxa"/>
        </w:tblCellMar>
        <w:tblLook w:val="0000"/>
      </w:tblPr>
      <w:tblGrid>
        <w:gridCol w:w="3040"/>
        <w:gridCol w:w="6074"/>
      </w:tblGrid>
      <w:tr w:rsidTr="00C7180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7180F" w:rsidP="00C7180F">
            <w:pPr>
              <w:pStyle w:val="BodyText"/>
            </w:pPr>
            <w:r w:rsidRPr="00C718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180F">
            <w:pPr>
              <w:pStyle w:val="BodyText"/>
              <w:rPr>
                <w:lang w:val="en-NZ"/>
              </w:rPr>
            </w:pPr>
            <w:r w:rsidRPr="00C7180F">
              <w:rPr>
                <w:rStyle w:val="SpecialBold"/>
              </w:rPr>
              <w:t>Comments</w:t>
            </w:r>
          </w:p>
        </w:tc>
      </w:tr>
      <w:tr w:rsidTr="00C7180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180F">
            <w:pPr>
              <w:pStyle w:val="BodyText"/>
              <w:rPr>
                <w:lang w:val="en-NZ"/>
              </w:rPr>
            </w:pPr>
            <w:r w:rsidRPr="00C718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180F" w:rsidP="00C7180F">
            <w:pPr>
              <w:pStyle w:val="BodyText"/>
            </w:pPr>
            <w:r w:rsidRPr="00C7180F">
              <w:t>Release 2 HLTCCD001 Apply an understanding of the health care system to clinical codi</w:t>
            </w:r>
            <w:r w:rsidRPr="00C7180F">
              <w:t>ng practice supersedes and is equivalent to Release 1 HLTCCD001 Apply an understanding of the health care system to clinical coding practice.</w:t>
            </w:r>
          </w:p>
          <w:p w:rsidR="00000000" w:rsidRPr="00C7180F" w:rsidP="00C7180F">
            <w:pPr>
              <w:pStyle w:val="BodyText"/>
            </w:pPr>
            <w:r w:rsidRPr="00C7180F">
              <w:t>Updated:</w:t>
            </w:r>
          </w:p>
          <w:p w:rsidR="00000000" w:rsidP="00C7180F">
            <w:pPr>
              <w:pStyle w:val="BodyText"/>
              <w:rPr>
                <w:lang w:val="en-NZ"/>
              </w:rPr>
            </w:pPr>
            <w:r w:rsidRPr="00C7180F">
              <w:t>Mapping details and minor corrections.</w:t>
            </w:r>
          </w:p>
        </w:tc>
      </w:tr>
      <w:tr w:rsidTr="00C7180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180F">
            <w:pPr>
              <w:pStyle w:val="BodyText"/>
              <w:rPr>
                <w:lang w:val="en-NZ"/>
              </w:rPr>
            </w:pPr>
            <w:r w:rsidRPr="00C718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180F" w:rsidP="00C7180F">
            <w:pPr>
              <w:pStyle w:val="BodyText"/>
            </w:pPr>
            <w:r w:rsidRPr="00C7180F">
              <w:t>HLTCCD001 Apply an understanding of the health care system to clinical coding practice no equivalent unit.</w:t>
            </w:r>
          </w:p>
        </w:tc>
      </w:tr>
    </w:tbl>
    <w:p w:rsidR="00000000" w:rsidRPr="00C7180F" w:rsidP="00C7180F">
      <w:pPr>
        <w:pStyle w:val="BodyText"/>
      </w:pPr>
    </w:p>
    <w:p w:rsidR="00000000" w:rsidRPr="00C7180F" w:rsidP="00C7180F">
      <w:pPr>
        <w:pStyle w:val="AllowPageBreak"/>
      </w:pPr>
    </w:p>
    <w:p w:rsidR="00000000" w:rsidRPr="00C7180F" w:rsidP="00C7180F">
      <w:pPr>
        <w:pStyle w:val="Heading1"/>
      </w:pPr>
      <w:bookmarkStart w:id="11" w:name="O_1200170"/>
      <w:bookmarkEnd w:id="11"/>
      <w:r w:rsidRPr="00C7180F">
        <w:t>Performance Evidence</w:t>
      </w:r>
    </w:p>
    <w:p w:rsidR="00000000" w:rsidRPr="00C7180F" w:rsidP="00ED0373">
      <w:pPr>
        <w:pStyle w:val="BodyText"/>
      </w:pPr>
      <w:r w:rsidRPr="00C7180F">
        <w:t>Evidence of the ability to complete tasks outlined in elements and performance criteria of this unit in the</w:t>
      </w:r>
      <w:r w:rsidRPr="00C7180F">
        <w:t xml:space="preserve"> context of the job role, and:</w:t>
      </w:r>
    </w:p>
    <w:p w:rsidR="00000000" w:rsidRPr="00C7180F" w:rsidP="00C7180F">
      <w:pPr>
        <w:pStyle w:val="ListBullet"/>
      </w:pPr>
      <w:r w:rsidRPr="00C7180F">
        <w:t>identify at least three different national or jurisdictional policies and how they impact on clinical coding work</w:t>
      </w:r>
    </w:p>
    <w:p w:rsidR="00000000" w:rsidRPr="00C7180F" w:rsidP="00C7180F">
      <w:pPr>
        <w:pStyle w:val="ListBullet"/>
      </w:pPr>
      <w:r w:rsidRPr="00C7180F">
        <w:t>identify at least three models of health care service funding including:</w:t>
      </w:r>
    </w:p>
    <w:p w:rsidR="00000000" w:rsidRPr="00C7180F" w:rsidP="00C7180F">
      <w:pPr>
        <w:pStyle w:val="ListBullet2"/>
      </w:pPr>
      <w:r w:rsidRPr="00C7180F">
        <w:t xml:space="preserve">principles and purpose </w:t>
      </w:r>
    </w:p>
    <w:p w:rsidR="00000000" w:rsidRPr="00C7180F" w:rsidP="00C7180F">
      <w:pPr>
        <w:pStyle w:val="ListBullet2"/>
      </w:pPr>
      <w:r w:rsidRPr="00C7180F">
        <w:t>effect on clinical coding procedures</w:t>
      </w:r>
    </w:p>
    <w:p w:rsidR="00000000" w:rsidRPr="00C7180F" w:rsidP="00C7180F">
      <w:pPr>
        <w:pStyle w:val="ListBullet"/>
      </w:pPr>
      <w:r w:rsidRPr="00C7180F">
        <w:t>for at least three different health care service providers identify:</w:t>
      </w:r>
    </w:p>
    <w:p w:rsidR="00000000" w:rsidRPr="00C7180F" w:rsidP="00C7180F">
      <w:pPr>
        <w:pStyle w:val="ListBullet2"/>
      </w:pPr>
      <w:r w:rsidRPr="00C7180F">
        <w:t xml:space="preserve">structure and functions </w:t>
      </w:r>
    </w:p>
    <w:p w:rsidR="00000000" w:rsidRPr="00C7180F" w:rsidP="00C7180F">
      <w:pPr>
        <w:pStyle w:val="ListBullet2"/>
      </w:pPr>
      <w:r w:rsidRPr="00C7180F">
        <w:t>the range of health professional roles and how they support patient outcomes</w:t>
      </w:r>
    </w:p>
    <w:p w:rsidR="00000000" w:rsidRPr="00C7180F" w:rsidP="00C7180F">
      <w:pPr>
        <w:pStyle w:val="ListBullet2"/>
      </w:pPr>
      <w:r w:rsidRPr="00C7180F">
        <w:t xml:space="preserve">variations in patient management pathways </w:t>
      </w:r>
    </w:p>
    <w:p w:rsidR="00000000" w:rsidRPr="00C7180F" w:rsidP="00C7180F">
      <w:pPr>
        <w:pStyle w:val="ListBullet2"/>
      </w:pPr>
      <w:r w:rsidRPr="00C7180F">
        <w:t>how</w:t>
      </w:r>
      <w:r w:rsidRPr="00C7180F">
        <w:t xml:space="preserve"> the above factors impact on clinical coding work.</w:t>
      </w:r>
    </w:p>
    <w:p w:rsidR="00000000" w:rsidRPr="00C7180F" w:rsidP="00C7180F">
      <w:pPr>
        <w:pStyle w:val="AllowPageBreak"/>
      </w:pPr>
    </w:p>
    <w:p w:rsidR="00000000" w:rsidRPr="00C7180F" w:rsidP="00C7180F">
      <w:pPr>
        <w:pStyle w:val="Heading1"/>
      </w:pPr>
      <w:bookmarkStart w:id="12" w:name="O_1200169"/>
      <w:bookmarkEnd w:id="12"/>
      <w:r w:rsidRPr="00C7180F">
        <w:t>Knowledge Evidence</w:t>
      </w:r>
    </w:p>
    <w:p w:rsidR="00000000" w:rsidRPr="00C7180F" w:rsidP="00ED0373">
      <w:pPr>
        <w:pStyle w:val="BodyText"/>
      </w:pPr>
      <w:r w:rsidRPr="00C7180F">
        <w:t>Demonstrated knowledge required to complete the tasks outlined in elements and performance criteria of this unit:</w:t>
      </w:r>
    </w:p>
    <w:p w:rsidR="00000000" w:rsidRPr="00C7180F" w:rsidP="00C7180F">
      <w:pPr>
        <w:pStyle w:val="ListBullet"/>
      </w:pPr>
      <w:r w:rsidRPr="00C7180F">
        <w:t xml:space="preserve">national and jurisdictional legislation, agreements </w:t>
      </w:r>
      <w:r w:rsidRPr="00C7180F">
        <w:t>and policies relating to clinical coding</w:t>
      </w:r>
    </w:p>
    <w:p w:rsidR="00000000" w:rsidRPr="00C7180F" w:rsidP="00C7180F">
      <w:pPr>
        <w:pStyle w:val="ListBullet"/>
      </w:pPr>
      <w:r w:rsidRPr="00C7180F">
        <w:t>scope, structure and functions of public and private hospital and other health care service providers</w:t>
      </w:r>
    </w:p>
    <w:p w:rsidR="00000000" w:rsidRPr="00C7180F" w:rsidP="00C7180F">
      <w:pPr>
        <w:pStyle w:val="ListBullet"/>
      </w:pPr>
      <w:r w:rsidRPr="00C7180F">
        <w:t>roles of health care professionals:</w:t>
      </w:r>
    </w:p>
    <w:p w:rsidR="00000000" w:rsidRPr="00C7180F" w:rsidP="00C7180F">
      <w:pPr>
        <w:pStyle w:val="ListBullet2"/>
      </w:pPr>
      <w:r w:rsidRPr="00C7180F">
        <w:t>types of roles</w:t>
      </w:r>
    </w:p>
    <w:p w:rsidR="00000000" w:rsidRPr="00C7180F" w:rsidP="00C7180F">
      <w:pPr>
        <w:pStyle w:val="ListBullet2"/>
      </w:pPr>
      <w:r w:rsidRPr="00C7180F">
        <w:t>scope of practice of roles</w:t>
      </w:r>
    </w:p>
    <w:p w:rsidR="00000000" w:rsidRPr="00C7180F" w:rsidP="00C7180F">
      <w:pPr>
        <w:pStyle w:val="ListBullet2"/>
      </w:pPr>
      <w:r w:rsidRPr="00C7180F">
        <w:t>responsibilities and reporting lines</w:t>
      </w:r>
    </w:p>
    <w:p w:rsidR="00000000" w:rsidRPr="00C7180F" w:rsidP="00C7180F">
      <w:pPr>
        <w:pStyle w:val="ListBullet2"/>
      </w:pPr>
      <w:r w:rsidRPr="00C7180F">
        <w:t>clinical disciplines as listed on the Australian Health Practitioner Regulation Agency (AHPRA) website for registered practitioners</w:t>
      </w:r>
    </w:p>
    <w:p w:rsidR="00000000" w:rsidRPr="00C7180F" w:rsidP="00C7180F">
      <w:pPr>
        <w:pStyle w:val="ListBullet"/>
      </w:pPr>
      <w:r w:rsidRPr="00C7180F">
        <w:t>funding models for health care service providers:</w:t>
      </w:r>
    </w:p>
    <w:p w:rsidR="00000000" w:rsidRPr="00C7180F" w:rsidP="00C7180F">
      <w:pPr>
        <w:pStyle w:val="ListBullet2"/>
      </w:pPr>
      <w:r w:rsidRPr="00C7180F">
        <w:t>source</w:t>
      </w:r>
    </w:p>
    <w:p w:rsidR="00000000" w:rsidRPr="00C7180F" w:rsidP="00C7180F">
      <w:pPr>
        <w:pStyle w:val="ListBullet2"/>
      </w:pPr>
      <w:r w:rsidRPr="00C7180F">
        <w:t>purpose</w:t>
      </w:r>
    </w:p>
    <w:p w:rsidR="00000000" w:rsidRPr="00C7180F" w:rsidP="00C7180F">
      <w:pPr>
        <w:pStyle w:val="ListBullet2"/>
      </w:pPr>
      <w:r w:rsidRPr="00C7180F">
        <w:t>structure</w:t>
      </w:r>
    </w:p>
    <w:p w:rsidR="00000000" w:rsidRPr="00C7180F" w:rsidP="00C7180F">
      <w:pPr>
        <w:pStyle w:val="ListBullet"/>
      </w:pPr>
      <w:r w:rsidRPr="00C7180F">
        <w:t>concept o</w:t>
      </w:r>
      <w:r w:rsidRPr="00C7180F">
        <w:t>f clinical coding and Diagnosis Related Groups (DRG)</w:t>
      </w:r>
    </w:p>
    <w:p w:rsidR="00000000" w:rsidRPr="00C7180F" w:rsidP="00C7180F">
      <w:pPr>
        <w:pStyle w:val="ListBullet"/>
      </w:pPr>
      <w:r w:rsidRPr="00C7180F">
        <w:t>uses of coded data including health care services planning and monitoring, research, epidemiology, funding model development and quality improvement activities</w:t>
      </w:r>
    </w:p>
    <w:p w:rsidR="00000000" w:rsidRPr="00C7180F" w:rsidP="00C7180F">
      <w:pPr>
        <w:pStyle w:val="ListBullet"/>
      </w:pPr>
      <w:r w:rsidRPr="00C7180F">
        <w:t>different pathways for management of patien</w:t>
      </w:r>
      <w:r w:rsidRPr="00C7180F">
        <w:t>ts:</w:t>
      </w:r>
    </w:p>
    <w:p w:rsidR="00000000" w:rsidRPr="00C7180F" w:rsidP="00C7180F">
      <w:pPr>
        <w:pStyle w:val="ListBullet2"/>
      </w:pPr>
      <w:r w:rsidRPr="00C7180F">
        <w:t>non-admitted</w:t>
      </w:r>
    </w:p>
    <w:p w:rsidR="00000000" w:rsidRPr="00C7180F" w:rsidP="00C7180F">
      <w:pPr>
        <w:pStyle w:val="ListBullet2"/>
      </w:pPr>
      <w:r w:rsidRPr="00C7180F">
        <w:t>emergency</w:t>
      </w:r>
    </w:p>
    <w:p w:rsidR="00000000" w:rsidRPr="00C7180F" w:rsidP="00C7180F">
      <w:pPr>
        <w:pStyle w:val="ListBullet2"/>
      </w:pPr>
      <w:r w:rsidRPr="00C7180F">
        <w:t>admitted including same day admissions</w:t>
      </w:r>
    </w:p>
    <w:p w:rsidR="00000000" w:rsidRPr="00C7180F" w:rsidP="00C7180F">
      <w:pPr>
        <w:pStyle w:val="ListBullet2"/>
      </w:pPr>
      <w:r w:rsidRPr="00C7180F">
        <w:t>sub-acute and non-acute</w:t>
      </w:r>
    </w:p>
    <w:p w:rsidR="00000000" w:rsidRPr="00C7180F" w:rsidP="00C7180F">
      <w:pPr>
        <w:pStyle w:val="ListBullet2"/>
      </w:pPr>
      <w:r w:rsidRPr="00C7180F">
        <w:t xml:space="preserve">post discharge </w:t>
      </w:r>
    </w:p>
    <w:p w:rsidR="00000000" w:rsidRPr="00C7180F" w:rsidP="00C7180F">
      <w:pPr>
        <w:pStyle w:val="ListBullet"/>
      </w:pPr>
      <w:r w:rsidRPr="00C7180F">
        <w:t>impact of incorrect coding of clinical data</w:t>
      </w:r>
    </w:p>
    <w:p w:rsidR="00000000" w:rsidRPr="00C7180F" w:rsidP="00C7180F">
      <w:pPr>
        <w:pStyle w:val="ListBullet"/>
      </w:pPr>
      <w:r w:rsidRPr="00C7180F">
        <w:t>external factors influencing the health care system and their impact on clinical coding outcomes:</w:t>
      </w:r>
    </w:p>
    <w:p w:rsidR="00000000" w:rsidRPr="00C7180F" w:rsidP="00C7180F">
      <w:pPr>
        <w:pStyle w:val="ListBullet2"/>
      </w:pPr>
      <w:r w:rsidRPr="00C7180F">
        <w:t>political</w:t>
      </w:r>
    </w:p>
    <w:p w:rsidR="00000000" w:rsidRPr="00C7180F" w:rsidP="00C7180F">
      <w:pPr>
        <w:pStyle w:val="ListBullet2"/>
      </w:pPr>
      <w:r w:rsidRPr="00C7180F">
        <w:t>economic</w:t>
      </w:r>
    </w:p>
    <w:p w:rsidR="00000000" w:rsidRPr="00C7180F" w:rsidP="00C7180F">
      <w:pPr>
        <w:pStyle w:val="ListBullet2"/>
      </w:pPr>
      <w:r w:rsidRPr="00C7180F">
        <w:t>social.</w:t>
      </w:r>
    </w:p>
    <w:p w:rsidR="00000000" w:rsidRPr="00C7180F" w:rsidP="00C7180F">
      <w:pPr>
        <w:pStyle w:val="AllowPageBreak"/>
      </w:pPr>
    </w:p>
    <w:p w:rsidR="00000000" w:rsidRPr="00C7180F" w:rsidP="00C7180F">
      <w:pPr>
        <w:pStyle w:val="Heading1"/>
      </w:pPr>
      <w:bookmarkStart w:id="13" w:name="O_1200168"/>
      <w:bookmarkEnd w:id="13"/>
      <w:r w:rsidRPr="00C7180F">
        <w:t>Assessment Conditions</w:t>
      </w:r>
    </w:p>
    <w:p w:rsidR="00000000" w:rsidRPr="00C7180F" w:rsidP="00ED0373">
      <w:pPr>
        <w:pStyle w:val="BodyText"/>
      </w:pPr>
      <w:r w:rsidRPr="00C7180F">
        <w:t>Skills must be demonstrated in the workplace or in a simulated environment that reflects workplace conditions.</w:t>
      </w:r>
    </w:p>
    <w:p w:rsidR="00000000" w:rsidRPr="00C7180F" w:rsidP="00ED0373">
      <w:pPr>
        <w:pStyle w:val="BodyText"/>
      </w:pPr>
      <w:r w:rsidRPr="00C7180F">
        <w:t>Assessment must ensure access to:</w:t>
      </w:r>
    </w:p>
    <w:p w:rsidR="00000000" w:rsidRPr="00C7180F" w:rsidP="00C7180F">
      <w:pPr>
        <w:pStyle w:val="ListBullet"/>
      </w:pPr>
      <w:r w:rsidRPr="00C7180F">
        <w:t>organisational policies and procedures</w:t>
      </w:r>
    </w:p>
    <w:p w:rsidR="00000000" w:rsidRPr="00C7180F" w:rsidP="00C7180F">
      <w:pPr>
        <w:pStyle w:val="ListBullet"/>
      </w:pPr>
      <w:r w:rsidRPr="00C7180F">
        <w:t>National and State or Territory agreement and legislation relevant to clinical coding</w:t>
      </w:r>
    </w:p>
    <w:p w:rsidR="00000000" w:rsidRPr="00C7180F" w:rsidP="00C7180F">
      <w:pPr>
        <w:pStyle w:val="ListBullet"/>
      </w:pPr>
      <w:r w:rsidRPr="00C7180F">
        <w:t>sources of information on factors that relate to and impact on the work of clinical coding</w:t>
      </w:r>
    </w:p>
    <w:p w:rsidR="00000000" w:rsidRPr="00C7180F" w:rsidP="00ED0373">
      <w:pPr>
        <w:pStyle w:val="BodyText"/>
      </w:pPr>
      <w:r w:rsidRPr="00C7180F">
        <w:t>Assessors must satisfy the Standards for Registered Training Organisations’ req</w:t>
      </w:r>
      <w:r w:rsidRPr="00C7180F">
        <w:t>uirements for assessors.</w:t>
      </w:r>
    </w:p>
    <w:p w:rsidR="00000000" w:rsidRPr="00C7180F" w:rsidP="00C7180F">
      <w:pPr>
        <w:pStyle w:val="Heading1"/>
      </w:pPr>
      <w:bookmarkStart w:id="14" w:name="O_1200182"/>
      <w:bookmarkEnd w:id="14"/>
      <w:r w:rsidRPr="00C7180F">
        <w:t>Links</w:t>
      </w:r>
    </w:p>
    <w:p w:rsidR="00000000" w:rsidRPr="00C7180F" w:rsidP="00ED0373">
      <w:pPr>
        <w:pStyle w:val="BodyText"/>
      </w:pPr>
      <w:r w:rsidRPr="00C718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1D95">
        <w:rPr>
          <w:rStyle w:val="Hyperlink"/>
        </w:rPr>
        <w:t>https://vetnet.gov.au/Pages/TrainingDocs.aspx?q=ced1390f-48d9-4ab0-bd50-b015e5485705</w:t>
      </w:r>
      <w:r>
        <w:fldChar w:fldCharType="end"/>
      </w:r>
    </w:p>
    <w:p w:rsidR="00000000" w:rsidRPr="00C7180F" w:rsidP="00C7180F"/>
    <w:sectPr w:rsidSect="00C718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rsidRPr="00ED0373" w:rsidP="00ED0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73" w:rsidP="00C71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373" w:rsidP="00C718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D0373" w:rsidP="00C718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rsidP="00C7180F">
    <w:pPr>
      <w:pStyle w:val="Footer"/>
      <w:framePr w:wrap="around"/>
    </w:pPr>
    <w:r>
      <w:fldChar w:fldCharType="begin"/>
    </w:r>
    <w:r>
      <w:instrText xml:space="preserve"> DOCPROPERTY  Subject  \* MERGEFORMAT </w:instrText>
    </w:r>
    <w:r>
      <w:fldChar w:fldCharType="separate"/>
    </w:r>
    <w:r w:rsidR="00ED0373">
      <w:t>Approved</w:t>
    </w:r>
    <w:r w:rsidR="00ED0373">
      <w:fldChar w:fldCharType="end"/>
    </w:r>
    <w:r>
      <w:tab/>
      <w:t xml:space="preserve">Page </w:t>
    </w:r>
    <w:r>
      <w:fldChar w:fldCharType="begin"/>
    </w:r>
    <w:r>
      <w:instrText xml:space="preserve"> PAGE  \* Arabic  \* MERGEFORMAT </w:instrText>
    </w:r>
    <w:r>
      <w:fldChar w:fldCharType="separate"/>
    </w:r>
    <w:r w:rsidR="00ED03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373">
      <w:rPr>
        <w:noProof/>
      </w:rPr>
      <w:t>4</w:t>
    </w:r>
    <w:r>
      <w:rPr>
        <w:noProof/>
      </w:rPr>
      <w:fldChar w:fldCharType="end"/>
    </w:r>
  </w:p>
  <w:p w:rsidR="00C7180F" w:rsidP="00C7180F">
    <w:pPr>
      <w:pStyle w:val="Footer"/>
      <w:framePr w:wrap="around"/>
    </w:pPr>
    <w:r>
      <w:t xml:space="preserve">© Commonwealth of Australia, </w:t>
    </w:r>
    <w:r>
      <w:fldChar w:fldCharType="begin"/>
    </w:r>
    <w:r>
      <w:instrText xml:space="preserve"> DATE  \@ "yyyy"  \* MERGEFORMAT </w:instrText>
    </w:r>
    <w:r>
      <w:fldChar w:fldCharType="separate"/>
    </w:r>
    <w:r w:rsidR="00ED0373">
      <w:rPr>
        <w:noProof/>
      </w:rPr>
      <w:t>2025</w:t>
    </w:r>
    <w:r>
      <w:fldChar w:fldCharType="end"/>
    </w:r>
    <w:r>
      <w:tab/>
    </w:r>
    <w:r>
      <w:fldChar w:fldCharType="begin"/>
    </w:r>
    <w:r>
      <w:instrText xml:space="preserve"> DOCPROPERTY  Author  \* MERGEFORMAT </w:instrText>
    </w:r>
    <w:r>
      <w:fldChar w:fldCharType="separate"/>
    </w:r>
    <w:r w:rsidR="00ED0373">
      <w:t>HumanAbility</w:t>
    </w:r>
    <w:r w:rsidR="00ED0373">
      <w:fldChar w:fldCharType="end"/>
    </w:r>
  </w:p>
  <w:p w:rsidR="00C7180F" w:rsidP="00C71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80F" w:rsidRPr="00ED0373" w:rsidP="00ED0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373" w:rsidRPr="002D2AF8" w:rsidP="00C7180F">
    <w:pPr>
      <w:pStyle w:val="Header"/>
      <w:framePr w:wrap="around"/>
    </w:pPr>
    <w:r>
      <w:fldChar w:fldCharType="begin"/>
    </w:r>
    <w:r>
      <w:instrText xml:space="preserve"> TITLE   \* MERGEFORMAT </w:instrText>
    </w:r>
    <w:r>
      <w:fldChar w:fldCharType="separate"/>
    </w:r>
    <w:r>
      <w:t>HLTCCD001 Apply an understanding of the health care system to clinical coding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0373" w:rsidP="00C718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0F" w:rsidRPr="002D2AF8" w:rsidP="00C7180F">
    <w:pPr>
      <w:pStyle w:val="Header"/>
      <w:framePr w:wrap="around"/>
    </w:pPr>
    <w:r>
      <w:fldChar w:fldCharType="begin"/>
    </w:r>
    <w:r>
      <w:instrText xml:space="preserve"> TITLE   \* MERGEFORMAT </w:instrText>
    </w:r>
    <w:r>
      <w:fldChar w:fldCharType="separate"/>
    </w:r>
    <w:r w:rsidR="00ED0373">
      <w:t>HLTCCD001 Apply an understanding of the health care system to clinical coding practice</w:t>
    </w:r>
    <w:r w:rsidR="00ED0373">
      <w:fldChar w:fldCharType="end"/>
    </w:r>
    <w:r>
      <w:tab/>
      <w:t xml:space="preserve">Date this document was generated: </w:t>
    </w:r>
    <w:r>
      <w:fldChar w:fldCharType="begin"/>
    </w:r>
    <w:r>
      <w:instrText xml:space="preserve"> CREATEDATE  \@ "d MMMM yyyy"  \* MERGEFORMAT </w:instrText>
    </w:r>
    <w:r>
      <w:fldChar w:fldCharType="separate"/>
    </w:r>
    <w:r w:rsidR="00ED0373">
      <w:rPr>
        <w:noProof/>
      </w:rPr>
      <w:t>1 March 2025</w:t>
    </w:r>
    <w:r>
      <w:fldChar w:fldCharType="end"/>
    </w:r>
  </w:p>
  <w:p w:rsidR="00C7180F" w:rsidP="00C71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5E1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E7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45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80F"/>
    <w:pPr>
      <w:spacing w:before="360" w:after="60"/>
      <w:outlineLvl w:val="0"/>
    </w:pPr>
    <w:rPr>
      <w:sz w:val="32"/>
    </w:rPr>
  </w:style>
  <w:style w:type="paragraph" w:styleId="Heading2">
    <w:name w:val="heading 2"/>
    <w:basedOn w:val="HeadingBase"/>
    <w:next w:val="BodyText"/>
    <w:link w:val="Heading2Char"/>
    <w:qFormat/>
    <w:rsid w:val="00C7180F"/>
    <w:pPr>
      <w:keepLines/>
      <w:spacing w:before="240" w:after="120"/>
      <w:outlineLvl w:val="1"/>
    </w:pPr>
    <w:rPr>
      <w:sz w:val="28"/>
      <w:szCs w:val="40"/>
    </w:rPr>
  </w:style>
  <w:style w:type="paragraph" w:styleId="Heading3">
    <w:name w:val="heading 3"/>
    <w:basedOn w:val="HeadingBase"/>
    <w:next w:val="BodyText"/>
    <w:link w:val="Heading3Char"/>
    <w:qFormat/>
    <w:rsid w:val="00C7180F"/>
    <w:pPr>
      <w:spacing w:before="180" w:after="120"/>
      <w:outlineLvl w:val="2"/>
    </w:pPr>
    <w:rPr>
      <w:spacing w:val="-10"/>
      <w:kern w:val="32"/>
    </w:rPr>
  </w:style>
  <w:style w:type="paragraph" w:styleId="Heading4">
    <w:name w:val="heading 4"/>
    <w:basedOn w:val="HeadingBase"/>
    <w:next w:val="BodyText"/>
    <w:link w:val="Heading4Char"/>
    <w:qFormat/>
    <w:rsid w:val="00C7180F"/>
    <w:pPr>
      <w:spacing w:before="160" w:after="120"/>
      <w:outlineLvl w:val="3"/>
    </w:pPr>
    <w:rPr>
      <w:sz w:val="22"/>
    </w:rPr>
  </w:style>
  <w:style w:type="paragraph" w:styleId="Heading5">
    <w:name w:val="heading 5"/>
    <w:basedOn w:val="HeadingBase"/>
    <w:next w:val="Normal"/>
    <w:link w:val="Heading5Char"/>
    <w:qFormat/>
    <w:rsid w:val="00C7180F"/>
    <w:pPr>
      <w:spacing w:before="80"/>
      <w:outlineLvl w:val="4"/>
    </w:pPr>
    <w:rPr>
      <w:color w:val="918585"/>
      <w:sz w:val="20"/>
    </w:rPr>
  </w:style>
  <w:style w:type="paragraph" w:styleId="Heading6">
    <w:name w:val="heading 6"/>
    <w:basedOn w:val="HeadingBase"/>
    <w:next w:val="Normal"/>
    <w:link w:val="Heading6Char"/>
    <w:qFormat/>
    <w:rsid w:val="00C7180F"/>
    <w:pPr>
      <w:spacing w:before="60"/>
      <w:outlineLvl w:val="5"/>
    </w:pPr>
    <w:rPr>
      <w:color w:val="918585"/>
      <w:sz w:val="20"/>
    </w:rPr>
  </w:style>
  <w:style w:type="paragraph" w:styleId="Heading7">
    <w:name w:val="heading 7"/>
    <w:basedOn w:val="Normal"/>
    <w:next w:val="Normal"/>
    <w:link w:val="Heading7Char"/>
    <w:qFormat/>
    <w:rsid w:val="00C7180F"/>
    <w:pPr>
      <w:ind w:left="720"/>
      <w:outlineLvl w:val="6"/>
    </w:pPr>
    <w:rPr>
      <w:i/>
    </w:rPr>
  </w:style>
  <w:style w:type="paragraph" w:styleId="Heading8">
    <w:name w:val="heading 8"/>
    <w:basedOn w:val="Normal"/>
    <w:next w:val="Normal"/>
    <w:link w:val="Heading8Char"/>
    <w:qFormat/>
    <w:rsid w:val="00C7180F"/>
    <w:pPr>
      <w:ind w:left="720"/>
      <w:outlineLvl w:val="7"/>
    </w:pPr>
    <w:rPr>
      <w:i/>
    </w:rPr>
  </w:style>
  <w:style w:type="paragraph" w:styleId="Heading9">
    <w:name w:val="heading 9"/>
    <w:basedOn w:val="Normal"/>
    <w:next w:val="Normal"/>
    <w:link w:val="Heading9Char"/>
    <w:qFormat/>
    <w:rsid w:val="00C7180F"/>
    <w:pPr>
      <w:ind w:left="720"/>
      <w:outlineLvl w:val="8"/>
    </w:pPr>
    <w:rPr>
      <w:i/>
    </w:rPr>
  </w:style>
  <w:style w:type="character" w:default="1" w:styleId="DefaultParagraphFont">
    <w:name w:val="Default Paragraph Font"/>
    <w:uiPriority w:val="1"/>
    <w:unhideWhenUsed/>
    <w:rsid w:val="00C71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80F"/>
  </w:style>
  <w:style w:type="character" w:customStyle="1" w:styleId="Heading1Char">
    <w:name w:val="Heading 1 Char"/>
    <w:basedOn w:val="DefaultParagraphFont"/>
    <w:link w:val="Heading1"/>
    <w:rsid w:val="00C7180F"/>
    <w:rPr>
      <w:rFonts w:ascii="Times New Roman" w:eastAsia="Times New Roman" w:hAnsi="Times New Roman" w:cs="Times New Roman"/>
      <w:b/>
      <w:sz w:val="32"/>
      <w:szCs w:val="20"/>
      <w:lang w:eastAsia="en-US"/>
    </w:rPr>
  </w:style>
  <w:style w:type="paragraph" w:styleId="BodyText">
    <w:name w:val="Body Text"/>
    <w:basedOn w:val="Normal"/>
    <w:link w:val="BodyTextChar"/>
    <w:rsid w:val="00C71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80F"/>
    <w:rPr>
      <w:rFonts w:ascii="Times New Roman" w:eastAsia="Times New Roman" w:hAnsi="Times New Roman" w:cs="Times New Roman"/>
      <w:sz w:val="24"/>
      <w:lang w:eastAsia="en-US"/>
    </w:rPr>
  </w:style>
  <w:style w:type="paragraph" w:styleId="List">
    <w:name w:val="List"/>
    <w:basedOn w:val="BodyText"/>
    <w:next w:val="BodyText"/>
    <w:rsid w:val="00C7180F"/>
    <w:pPr>
      <w:tabs>
        <w:tab w:val="left" w:pos="340"/>
      </w:tabs>
      <w:spacing w:before="60" w:after="60"/>
      <w:ind w:left="340" w:hanging="340"/>
    </w:pPr>
  </w:style>
  <w:style w:type="paragraph" w:styleId="ListBullet">
    <w:name w:val="List Bullet"/>
    <w:basedOn w:val="List"/>
    <w:rsid w:val="00C7180F"/>
    <w:pPr>
      <w:numPr>
        <w:numId w:val="12"/>
      </w:numPr>
      <w:tabs>
        <w:tab w:val="clear" w:pos="340"/>
      </w:tabs>
      <w:spacing w:before="40" w:after="40"/>
    </w:pPr>
  </w:style>
  <w:style w:type="character" w:customStyle="1" w:styleId="SpecialBold">
    <w:name w:val="Special Bold"/>
    <w:basedOn w:val="DefaultParagraphFont"/>
    <w:rsid w:val="00C7180F"/>
    <w:rPr>
      <w:b/>
      <w:spacing w:val="0"/>
    </w:rPr>
  </w:style>
  <w:style w:type="paragraph" w:styleId="ListBullet2">
    <w:name w:val="List Bullet 2"/>
    <w:basedOn w:val="List2"/>
    <w:rsid w:val="00C7180F"/>
    <w:pPr>
      <w:numPr>
        <w:numId w:val="13"/>
      </w:numPr>
      <w:tabs>
        <w:tab w:val="clear" w:pos="680"/>
      </w:tabs>
    </w:pPr>
  </w:style>
  <w:style w:type="character" w:styleId="Emphasis">
    <w:name w:val="Emphasis"/>
    <w:basedOn w:val="DefaultParagraphFont"/>
    <w:qFormat/>
    <w:rsid w:val="00C7180F"/>
    <w:rPr>
      <w:i/>
    </w:rPr>
  </w:style>
  <w:style w:type="paragraph" w:customStyle="1" w:styleId="SuperHeading">
    <w:name w:val="SuperHeading"/>
    <w:basedOn w:val="Normal"/>
    <w:rsid w:val="00C7180F"/>
    <w:pPr>
      <w:spacing w:before="240" w:after="120"/>
      <w:outlineLvl w:val="0"/>
    </w:pPr>
    <w:rPr>
      <w:rFonts w:ascii="Times New Roman" w:hAnsi="Times New Roman"/>
      <w:b/>
      <w:sz w:val="32"/>
    </w:rPr>
  </w:style>
  <w:style w:type="paragraph" w:customStyle="1" w:styleId="AllowPageBreak">
    <w:name w:val="AllowPageBreak"/>
    <w:rsid w:val="00C718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180F"/>
    <w:rPr>
      <w:b/>
    </w:rPr>
  </w:style>
  <w:style w:type="character" w:customStyle="1" w:styleId="Heading2Char">
    <w:name w:val="Heading 2 Char"/>
    <w:basedOn w:val="DefaultParagraphFont"/>
    <w:link w:val="Heading2"/>
    <w:rsid w:val="00C71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80F"/>
    <w:rPr>
      <w:rFonts w:ascii="Courier New" w:eastAsia="Times New Roman" w:hAnsi="Courier New" w:cs="Times New Roman"/>
      <w:i/>
      <w:szCs w:val="20"/>
      <w:lang w:eastAsia="en-US"/>
    </w:rPr>
  </w:style>
  <w:style w:type="paragraph" w:customStyle="1" w:styleId="HeadingBase">
    <w:name w:val="Heading Base"/>
    <w:rsid w:val="00C71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80F"/>
    <w:pPr>
      <w:tabs>
        <w:tab w:val="right" w:leader="dot" w:pos="9072"/>
      </w:tabs>
      <w:ind w:left="567"/>
    </w:pPr>
    <w:rPr>
      <w:szCs w:val="22"/>
    </w:rPr>
  </w:style>
  <w:style w:type="paragraph" w:customStyle="1" w:styleId="TOCBase">
    <w:name w:val="TOC Base"/>
    <w:rsid w:val="00C71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80F"/>
    <w:pPr>
      <w:tabs>
        <w:tab w:val="right" w:leader="dot" w:pos="9072"/>
      </w:tabs>
      <w:spacing w:before="40" w:after="40"/>
      <w:ind w:left="284"/>
    </w:pPr>
    <w:rPr>
      <w:rFonts w:ascii="Times New Roman" w:hAnsi="Times New Roman"/>
    </w:rPr>
  </w:style>
  <w:style w:type="paragraph" w:styleId="TOC1">
    <w:name w:val="toc 1"/>
    <w:basedOn w:val="TOCBase"/>
    <w:next w:val="Normal"/>
    <w:rsid w:val="00C71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80F"/>
    <w:rPr>
      <w:rFonts w:ascii="Times New Roman" w:eastAsia="Times New Roman" w:hAnsi="Times New Roman" w:cs="Times New Roman"/>
      <w:sz w:val="16"/>
      <w:lang w:eastAsia="en-US"/>
    </w:rPr>
  </w:style>
  <w:style w:type="paragraph" w:styleId="Title">
    <w:name w:val="Title"/>
    <w:basedOn w:val="HeadingBase"/>
    <w:link w:val="TitleChar"/>
    <w:qFormat/>
    <w:rsid w:val="00C7180F"/>
    <w:pPr>
      <w:spacing w:before="5040"/>
      <w:jc w:val="center"/>
    </w:pPr>
    <w:rPr>
      <w:sz w:val="48"/>
      <w:szCs w:val="72"/>
      <w:lang w:val="en-US"/>
    </w:rPr>
  </w:style>
  <w:style w:type="character" w:customStyle="1" w:styleId="TitleChar">
    <w:name w:val="Title Char"/>
    <w:basedOn w:val="DefaultParagraphFont"/>
    <w:link w:val="Title"/>
    <w:rsid w:val="00C71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80F"/>
    <w:pPr>
      <w:tabs>
        <w:tab w:val="left" w:pos="3600"/>
        <w:tab w:val="left" w:pos="3958"/>
      </w:tabs>
    </w:pPr>
  </w:style>
  <w:style w:type="paragraph" w:customStyle="1" w:styleId="Note">
    <w:name w:val="Note"/>
    <w:basedOn w:val="BodyText"/>
    <w:rsid w:val="00C71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80F"/>
    <w:pPr>
      <w:framePr w:wrap="auto" w:hAnchor="text" w:y="6049"/>
    </w:pPr>
    <w:rPr>
      <w:color w:val="000000"/>
      <w:sz w:val="40"/>
    </w:rPr>
  </w:style>
  <w:style w:type="paragraph" w:customStyle="1" w:styleId="TOCTitle">
    <w:name w:val="TOCTitle"/>
    <w:basedOn w:val="Heading1"/>
    <w:rsid w:val="00C7180F"/>
    <w:pPr>
      <w:spacing w:after="240"/>
      <w:jc w:val="center"/>
      <w:outlineLvl w:val="9"/>
    </w:pPr>
    <w:rPr>
      <w:caps/>
    </w:rPr>
  </w:style>
  <w:style w:type="paragraph" w:customStyle="1" w:styleId="Version">
    <w:name w:val="Version"/>
    <w:rsid w:val="00C71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80F"/>
    <w:pPr>
      <w:keepNext w:val="0"/>
      <w:tabs>
        <w:tab w:val="right" w:pos="4176"/>
      </w:tabs>
      <w:ind w:left="198" w:hanging="198"/>
    </w:pPr>
    <w:rPr>
      <w:rFonts w:ascii="Garamond" w:hAnsi="Garamond"/>
    </w:rPr>
  </w:style>
  <w:style w:type="paragraph" w:styleId="IndexHeading">
    <w:name w:val="index heading"/>
    <w:basedOn w:val="Normal"/>
    <w:next w:val="Index1"/>
    <w:semiHidden/>
    <w:rsid w:val="00C7180F"/>
    <w:pPr>
      <w:spacing w:before="120" w:after="120"/>
    </w:pPr>
    <w:rPr>
      <w:rFonts w:ascii="Arial" w:hAnsi="Arial"/>
      <w:b/>
      <w:color w:val="918585"/>
      <w:sz w:val="24"/>
    </w:rPr>
  </w:style>
  <w:style w:type="paragraph" w:styleId="Header">
    <w:name w:val="header"/>
    <w:basedOn w:val="Normal"/>
    <w:link w:val="HeaderChar"/>
    <w:rsid w:val="00C71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80F"/>
    <w:rPr>
      <w:rFonts w:ascii="Times New Roman" w:eastAsia="Times New Roman" w:hAnsi="Times New Roman" w:cs="Times New Roman"/>
      <w:sz w:val="16"/>
      <w:szCs w:val="20"/>
      <w:lang w:val="en-GB" w:eastAsia="en-US"/>
    </w:rPr>
  </w:style>
  <w:style w:type="paragraph" w:customStyle="1" w:styleId="Chapter">
    <w:name w:val="Chapter"/>
    <w:basedOn w:val="Normal"/>
    <w:rsid w:val="00C7180F"/>
    <w:pPr>
      <w:spacing w:before="240"/>
    </w:pPr>
    <w:rPr>
      <w:rFonts w:ascii="Times New Roman" w:hAnsi="Times New Roman"/>
      <w:smallCaps/>
      <w:spacing w:val="80"/>
      <w:sz w:val="28"/>
    </w:rPr>
  </w:style>
  <w:style w:type="paragraph" w:customStyle="1" w:styleId="InChapter">
    <w:name w:val="InChapter"/>
    <w:basedOn w:val="Heading3"/>
    <w:rsid w:val="00C7180F"/>
    <w:pPr>
      <w:spacing w:after="240"/>
      <w:outlineLvl w:val="9"/>
    </w:pPr>
    <w:rPr>
      <w:noProof/>
    </w:rPr>
  </w:style>
  <w:style w:type="paragraph" w:styleId="Index2">
    <w:name w:val="index 2"/>
    <w:basedOn w:val="Normal"/>
    <w:next w:val="Normal"/>
    <w:semiHidden/>
    <w:rsid w:val="00C7180F"/>
    <w:pPr>
      <w:tabs>
        <w:tab w:val="right" w:pos="4176"/>
      </w:tabs>
      <w:ind w:left="568" w:hanging="284"/>
    </w:pPr>
    <w:rPr>
      <w:rFonts w:ascii="Garamond" w:hAnsi="Garamond"/>
    </w:rPr>
  </w:style>
  <w:style w:type="paragraph" w:customStyle="1" w:styleId="Byline">
    <w:name w:val="Byline"/>
    <w:rsid w:val="00C71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80F"/>
    <w:pPr>
      <w:tabs>
        <w:tab w:val="clear" w:pos="3600"/>
        <w:tab w:val="clear" w:pos="3958"/>
      </w:tabs>
      <w:jc w:val="right"/>
    </w:pPr>
  </w:style>
  <w:style w:type="paragraph" w:styleId="Caption">
    <w:name w:val="caption"/>
    <w:basedOn w:val="BodyText"/>
    <w:next w:val="Normal"/>
    <w:qFormat/>
    <w:rsid w:val="00C7180F"/>
    <w:pPr>
      <w:framePr w:w="2268" w:hSpace="181" w:vSpace="181" w:wrap="around" w:vAnchor="text" w:hAnchor="page" w:x="1135" w:y="285" w:anchorLock="1"/>
    </w:pPr>
    <w:rPr>
      <w:i/>
    </w:rPr>
  </w:style>
  <w:style w:type="paragraph" w:customStyle="1" w:styleId="MiniTOCTitle">
    <w:name w:val="MiniTOCTitle"/>
    <w:basedOn w:val="Heading4"/>
    <w:rsid w:val="00C7180F"/>
    <w:pPr>
      <w:spacing w:before="240"/>
      <w:outlineLvl w:val="9"/>
    </w:pPr>
    <w:rPr>
      <w:noProof/>
      <w:sz w:val="24"/>
    </w:rPr>
  </w:style>
  <w:style w:type="paragraph" w:customStyle="1" w:styleId="MiniTOCItem">
    <w:name w:val="MiniTOCItem"/>
    <w:basedOn w:val="ListBullet"/>
    <w:rsid w:val="00C7180F"/>
    <w:pPr>
      <w:numPr>
        <w:numId w:val="0"/>
      </w:numPr>
      <w:tabs>
        <w:tab w:val="right" w:leader="dot" w:pos="6521"/>
      </w:tabs>
      <w:spacing w:before="0" w:after="0"/>
    </w:pPr>
  </w:style>
  <w:style w:type="paragraph" w:customStyle="1" w:styleId="TOFTitle">
    <w:name w:val="TOFTitle"/>
    <w:basedOn w:val="TOCTitle"/>
    <w:rsid w:val="00C7180F"/>
  </w:style>
  <w:style w:type="paragraph" w:styleId="TableofFigures">
    <w:name w:val="table of figures"/>
    <w:basedOn w:val="Normal"/>
    <w:next w:val="Normal"/>
    <w:semiHidden/>
    <w:rsid w:val="00C7180F"/>
    <w:pPr>
      <w:tabs>
        <w:tab w:val="right" w:leader="dot" w:pos="9072"/>
      </w:tabs>
      <w:ind w:left="970" w:hanging="403"/>
    </w:pPr>
    <w:rPr>
      <w:rFonts w:ascii="Times New Roman" w:hAnsi="Times New Roman"/>
      <w:b/>
    </w:rPr>
  </w:style>
  <w:style w:type="paragraph" w:styleId="ListNumber">
    <w:name w:val="List Number"/>
    <w:basedOn w:val="List"/>
    <w:rsid w:val="00C7180F"/>
    <w:pPr>
      <w:numPr>
        <w:numId w:val="15"/>
      </w:numPr>
      <w:tabs>
        <w:tab w:val="clear" w:pos="340"/>
      </w:tabs>
    </w:pPr>
  </w:style>
  <w:style w:type="character" w:customStyle="1" w:styleId="WingdingSymbols">
    <w:name w:val="Wingding Symbols"/>
    <w:rsid w:val="00C7180F"/>
    <w:rPr>
      <w:rFonts w:ascii="Wingdings" w:hAnsi="Wingdings"/>
    </w:rPr>
  </w:style>
  <w:style w:type="paragraph" w:customStyle="1" w:styleId="TableHeading">
    <w:name w:val="Table Heading"/>
    <w:basedOn w:val="HeadingBase"/>
    <w:rsid w:val="00C7180F"/>
    <w:pPr>
      <w:keepLines/>
      <w:pBdr>
        <w:bottom w:val="single" w:sz="6" w:space="1" w:color="918585"/>
      </w:pBdr>
      <w:spacing w:before="240"/>
    </w:pPr>
  </w:style>
  <w:style w:type="character" w:customStyle="1" w:styleId="HotSpot">
    <w:name w:val="HotSpot"/>
    <w:rsid w:val="00C7180F"/>
    <w:rPr>
      <w:color w:val="0033CC"/>
      <w:u w:val="none"/>
    </w:rPr>
  </w:style>
  <w:style w:type="paragraph" w:customStyle="1" w:styleId="BodyTextRight">
    <w:name w:val="Body Text Right"/>
    <w:basedOn w:val="BodyText"/>
    <w:rsid w:val="00C7180F"/>
    <w:pPr>
      <w:spacing w:before="0" w:after="0"/>
      <w:jc w:val="right"/>
    </w:pPr>
  </w:style>
  <w:style w:type="paragraph" w:styleId="Index3">
    <w:name w:val="index 3"/>
    <w:basedOn w:val="ListNumber2"/>
    <w:next w:val="Normal"/>
    <w:semiHidden/>
    <w:rsid w:val="00C7180F"/>
    <w:pPr>
      <w:numPr>
        <w:numId w:val="0"/>
      </w:numPr>
      <w:tabs>
        <w:tab w:val="right" w:leader="dot" w:pos="4176"/>
      </w:tabs>
    </w:pPr>
  </w:style>
  <w:style w:type="paragraph" w:styleId="ListNumber2">
    <w:name w:val="List Number 2"/>
    <w:basedOn w:val="List2"/>
    <w:rsid w:val="00C7180F"/>
    <w:pPr>
      <w:numPr>
        <w:numId w:val="10"/>
      </w:numPr>
      <w:tabs>
        <w:tab w:val="clear" w:pos="1060"/>
      </w:tabs>
    </w:pPr>
  </w:style>
  <w:style w:type="paragraph" w:customStyle="1" w:styleId="MarginNote">
    <w:name w:val="Margin Note"/>
    <w:basedOn w:val="BodyText"/>
    <w:rsid w:val="00C71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80F"/>
    <w:rPr>
      <w:sz w:val="32"/>
    </w:rPr>
  </w:style>
  <w:style w:type="paragraph" w:customStyle="1" w:styleId="HeadingProcedure">
    <w:name w:val="Heading Procedure"/>
    <w:basedOn w:val="HeadingBase"/>
    <w:next w:val="Normal"/>
    <w:rsid w:val="00C7180F"/>
    <w:pPr>
      <w:tabs>
        <w:tab w:val="left" w:pos="0"/>
      </w:tabs>
      <w:spacing w:before="120" w:after="60"/>
    </w:pPr>
    <w:rPr>
      <w:i/>
      <w:color w:val="918585"/>
      <w:sz w:val="22"/>
    </w:rPr>
  </w:style>
  <w:style w:type="paragraph" w:customStyle="1" w:styleId="TableBodyText">
    <w:name w:val="Table Body Text"/>
    <w:basedOn w:val="BodyText"/>
    <w:rsid w:val="00C7180F"/>
    <w:pPr>
      <w:spacing w:before="60" w:after="60"/>
    </w:pPr>
  </w:style>
  <w:style w:type="paragraph" w:styleId="ListContinue">
    <w:name w:val="List Continue"/>
    <w:basedOn w:val="List"/>
    <w:rsid w:val="00C7180F"/>
    <w:pPr>
      <w:ind w:firstLine="0"/>
    </w:pPr>
  </w:style>
  <w:style w:type="paragraph" w:customStyle="1" w:styleId="ListNote">
    <w:name w:val="List Note"/>
    <w:basedOn w:val="List"/>
    <w:rsid w:val="00C7180F"/>
    <w:pPr>
      <w:pBdr>
        <w:top w:val="single" w:sz="6" w:space="2" w:color="918585"/>
        <w:bottom w:val="single" w:sz="6" w:space="2" w:color="918585"/>
      </w:pBdr>
      <w:tabs>
        <w:tab w:val="left" w:pos="1021"/>
      </w:tabs>
      <w:ind w:firstLine="0"/>
    </w:pPr>
  </w:style>
  <w:style w:type="paragraph" w:customStyle="1" w:styleId="Warning">
    <w:name w:val="Warning"/>
    <w:basedOn w:val="BodyText"/>
    <w:rsid w:val="00C7180F"/>
    <w:pPr>
      <w:shd w:val="clear" w:color="auto" w:fill="D9D9D9"/>
      <w:tabs>
        <w:tab w:val="left" w:pos="992"/>
      </w:tabs>
      <w:ind w:left="119" w:right="119"/>
    </w:pPr>
    <w:rPr>
      <w:sz w:val="20"/>
    </w:rPr>
  </w:style>
  <w:style w:type="paragraph" w:customStyle="1" w:styleId="MarginIcons">
    <w:name w:val="Margin Icons"/>
    <w:basedOn w:val="BodyText"/>
    <w:rsid w:val="00C71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80F"/>
    <w:rPr>
      <w:rFonts w:ascii="Courier New" w:hAnsi="Courier New"/>
    </w:rPr>
  </w:style>
  <w:style w:type="paragraph" w:customStyle="1" w:styleId="NoteBullet">
    <w:name w:val="Note Bullet"/>
    <w:basedOn w:val="Note"/>
    <w:rsid w:val="00C7180F"/>
    <w:pPr>
      <w:tabs>
        <w:tab w:val="clear" w:pos="680"/>
      </w:tabs>
      <w:spacing w:before="60" w:after="60"/>
    </w:pPr>
  </w:style>
  <w:style w:type="paragraph" w:customStyle="1" w:styleId="SubHeading2">
    <w:name w:val="SubHeading2"/>
    <w:basedOn w:val="HeadingBase"/>
    <w:rsid w:val="00C7180F"/>
    <w:pPr>
      <w:spacing w:before="240" w:after="60"/>
    </w:pPr>
    <w:rPr>
      <w:sz w:val="20"/>
    </w:rPr>
  </w:style>
  <w:style w:type="paragraph" w:customStyle="1" w:styleId="SubHeading1">
    <w:name w:val="SubHeading1"/>
    <w:basedOn w:val="HeadingBase"/>
    <w:rsid w:val="00C7180F"/>
    <w:pPr>
      <w:spacing w:before="240" w:after="60"/>
    </w:pPr>
    <w:rPr>
      <w:color w:val="918585"/>
      <w:sz w:val="22"/>
    </w:rPr>
  </w:style>
  <w:style w:type="paragraph" w:customStyle="1" w:styleId="SideHeading">
    <w:name w:val="Side Heading"/>
    <w:basedOn w:val="HeadingBase"/>
    <w:rsid w:val="00C71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80F"/>
    <w:pPr>
      <w:tabs>
        <w:tab w:val="num" w:pos="360"/>
      </w:tabs>
    </w:pPr>
  </w:style>
  <w:style w:type="paragraph" w:styleId="PlainText">
    <w:name w:val="Plain Text"/>
    <w:basedOn w:val="Normal"/>
    <w:link w:val="PlainTextChar"/>
    <w:rsid w:val="00C7180F"/>
    <w:rPr>
      <w:sz w:val="20"/>
    </w:rPr>
  </w:style>
  <w:style w:type="character" w:customStyle="1" w:styleId="PlainTextChar">
    <w:name w:val="Plain Text Char"/>
    <w:basedOn w:val="DefaultParagraphFont"/>
    <w:link w:val="PlainText"/>
    <w:rsid w:val="00C7180F"/>
    <w:rPr>
      <w:rFonts w:ascii="Courier New" w:eastAsia="Times New Roman" w:hAnsi="Courier New" w:cs="Times New Roman"/>
      <w:sz w:val="20"/>
      <w:szCs w:val="20"/>
      <w:lang w:eastAsia="en-US"/>
    </w:rPr>
  </w:style>
  <w:style w:type="character" w:customStyle="1" w:styleId="MenuOption">
    <w:name w:val="Menu Option"/>
    <w:basedOn w:val="DefaultParagraphFont"/>
    <w:rsid w:val="00C7180F"/>
    <w:rPr>
      <w:b/>
      <w:smallCaps/>
    </w:rPr>
  </w:style>
  <w:style w:type="paragraph" w:customStyle="1" w:styleId="TableListNumber">
    <w:name w:val="Table List Number"/>
    <w:basedOn w:val="ListNumber"/>
    <w:rsid w:val="00C7180F"/>
    <w:pPr>
      <w:numPr>
        <w:numId w:val="0"/>
      </w:numPr>
    </w:pPr>
  </w:style>
  <w:style w:type="paragraph" w:styleId="TOC4">
    <w:name w:val="toc 4"/>
    <w:basedOn w:val="TOCBase"/>
    <w:next w:val="Normal"/>
    <w:semiHidden/>
    <w:rsid w:val="00C7180F"/>
    <w:pPr>
      <w:tabs>
        <w:tab w:val="right" w:leader="dot" w:pos="9071"/>
      </w:tabs>
      <w:ind w:left="1701"/>
    </w:pPr>
  </w:style>
  <w:style w:type="paragraph" w:customStyle="1" w:styleId="ListAlpha">
    <w:name w:val="List Alpha"/>
    <w:basedOn w:val="List"/>
    <w:rsid w:val="00C7180F"/>
    <w:pPr>
      <w:numPr>
        <w:numId w:val="9"/>
      </w:numPr>
    </w:pPr>
  </w:style>
  <w:style w:type="paragraph" w:customStyle="1" w:styleId="ListAlpha2">
    <w:name w:val="List Alpha 2"/>
    <w:basedOn w:val="List2"/>
    <w:rsid w:val="00C7180F"/>
    <w:pPr>
      <w:numPr>
        <w:numId w:val="8"/>
      </w:numPr>
    </w:pPr>
  </w:style>
  <w:style w:type="paragraph" w:styleId="List2">
    <w:name w:val="List 2"/>
    <w:basedOn w:val="BodyText"/>
    <w:rsid w:val="00C7180F"/>
    <w:pPr>
      <w:tabs>
        <w:tab w:val="left" w:pos="680"/>
      </w:tabs>
      <w:spacing w:before="60" w:after="60"/>
      <w:ind w:left="680" w:hanging="340"/>
    </w:pPr>
  </w:style>
  <w:style w:type="paragraph" w:styleId="List3">
    <w:name w:val="List 3"/>
    <w:basedOn w:val="BodyText"/>
    <w:rsid w:val="00C7180F"/>
    <w:pPr>
      <w:tabs>
        <w:tab w:val="left" w:pos="1021"/>
      </w:tabs>
      <w:spacing w:before="60" w:after="60"/>
      <w:ind w:left="1020" w:hanging="340"/>
    </w:pPr>
  </w:style>
  <w:style w:type="paragraph" w:styleId="List4">
    <w:name w:val="List 4"/>
    <w:basedOn w:val="BodyText"/>
    <w:rsid w:val="00C7180F"/>
    <w:pPr>
      <w:tabs>
        <w:tab w:val="left" w:pos="1361"/>
      </w:tabs>
      <w:spacing w:before="60" w:after="60"/>
      <w:ind w:left="1361" w:hanging="340"/>
    </w:pPr>
  </w:style>
  <w:style w:type="paragraph" w:styleId="List5">
    <w:name w:val="List 5"/>
    <w:basedOn w:val="BodyText"/>
    <w:rsid w:val="00C7180F"/>
    <w:pPr>
      <w:tabs>
        <w:tab w:val="left" w:pos="1701"/>
      </w:tabs>
      <w:spacing w:before="60" w:after="60"/>
      <w:ind w:left="1701" w:hanging="340"/>
    </w:pPr>
  </w:style>
  <w:style w:type="paragraph" w:styleId="ListBullet3">
    <w:name w:val="List Bullet 3"/>
    <w:basedOn w:val="List3"/>
    <w:rsid w:val="00C7180F"/>
    <w:pPr>
      <w:numPr>
        <w:numId w:val="14"/>
      </w:numPr>
      <w:tabs>
        <w:tab w:val="clear" w:pos="1021"/>
      </w:tabs>
      <w:ind w:left="1037" w:hanging="357"/>
    </w:pPr>
  </w:style>
  <w:style w:type="paragraph" w:styleId="ListBullet4">
    <w:name w:val="List Bullet 4"/>
    <w:basedOn w:val="List4"/>
    <w:rsid w:val="00C7180F"/>
    <w:pPr>
      <w:numPr>
        <w:numId w:val="3"/>
      </w:numPr>
      <w:tabs>
        <w:tab w:val="clear" w:pos="1361"/>
      </w:tabs>
    </w:pPr>
  </w:style>
  <w:style w:type="paragraph" w:styleId="ListBullet5">
    <w:name w:val="List Bullet 5"/>
    <w:basedOn w:val="List5"/>
    <w:rsid w:val="00C7180F"/>
    <w:pPr>
      <w:numPr>
        <w:numId w:val="4"/>
      </w:numPr>
    </w:pPr>
  </w:style>
  <w:style w:type="paragraph" w:styleId="ListContinue2">
    <w:name w:val="List Continue 2"/>
    <w:basedOn w:val="List2"/>
    <w:rsid w:val="00C7180F"/>
    <w:pPr>
      <w:ind w:firstLine="0"/>
    </w:pPr>
  </w:style>
  <w:style w:type="paragraph" w:styleId="ListContinue3">
    <w:name w:val="List Continue 3"/>
    <w:basedOn w:val="List3"/>
    <w:rsid w:val="00C7180F"/>
    <w:pPr>
      <w:ind w:left="1021" w:firstLine="0"/>
    </w:pPr>
  </w:style>
  <w:style w:type="paragraph" w:styleId="ListContinue4">
    <w:name w:val="List Continue 4"/>
    <w:basedOn w:val="List4"/>
    <w:rsid w:val="00C7180F"/>
    <w:pPr>
      <w:ind w:firstLine="0"/>
    </w:pPr>
  </w:style>
  <w:style w:type="paragraph" w:styleId="ListContinue5">
    <w:name w:val="List Continue 5"/>
    <w:basedOn w:val="List5"/>
    <w:rsid w:val="00C7180F"/>
    <w:pPr>
      <w:ind w:firstLine="0"/>
    </w:pPr>
  </w:style>
  <w:style w:type="paragraph" w:styleId="ListNumber3">
    <w:name w:val="List Number 3"/>
    <w:basedOn w:val="List3"/>
    <w:rsid w:val="00C7180F"/>
    <w:pPr>
      <w:numPr>
        <w:numId w:val="5"/>
      </w:numPr>
    </w:pPr>
  </w:style>
  <w:style w:type="paragraph" w:styleId="ListNumber4">
    <w:name w:val="List Number 4"/>
    <w:basedOn w:val="List4"/>
    <w:rsid w:val="00C7180F"/>
    <w:pPr>
      <w:numPr>
        <w:numId w:val="6"/>
      </w:numPr>
    </w:pPr>
  </w:style>
  <w:style w:type="paragraph" w:styleId="ListNumber5">
    <w:name w:val="List Number 5"/>
    <w:basedOn w:val="List5"/>
    <w:rsid w:val="00C7180F"/>
    <w:pPr>
      <w:numPr>
        <w:numId w:val="7"/>
      </w:numPr>
    </w:pPr>
  </w:style>
  <w:style w:type="paragraph" w:styleId="BlockText">
    <w:name w:val="Block Text"/>
    <w:basedOn w:val="Normal"/>
    <w:rsid w:val="00C7180F"/>
    <w:pPr>
      <w:spacing w:after="120"/>
      <w:ind w:left="1440" w:right="1440"/>
    </w:pPr>
  </w:style>
  <w:style w:type="character" w:customStyle="1" w:styleId="Subscript">
    <w:name w:val="Subscript"/>
    <w:basedOn w:val="DefaultParagraphFont"/>
    <w:rsid w:val="00C7180F"/>
    <w:rPr>
      <w:sz w:val="16"/>
      <w:vertAlign w:val="subscript"/>
    </w:rPr>
  </w:style>
  <w:style w:type="character" w:customStyle="1" w:styleId="Superscript">
    <w:name w:val="Superscript"/>
    <w:basedOn w:val="DefaultParagraphFont"/>
    <w:rsid w:val="00C7180F"/>
    <w:rPr>
      <w:sz w:val="16"/>
      <w:vertAlign w:val="superscript"/>
    </w:rPr>
  </w:style>
  <w:style w:type="character" w:customStyle="1" w:styleId="Symbols">
    <w:name w:val="Symbols"/>
    <w:basedOn w:val="DefaultParagraphFont"/>
    <w:rsid w:val="00C7180F"/>
    <w:rPr>
      <w:rFonts w:ascii="Symbol" w:hAnsi="Symbol"/>
    </w:rPr>
  </w:style>
  <w:style w:type="character" w:customStyle="1" w:styleId="MenuOptions">
    <w:name w:val="Menu Options"/>
    <w:basedOn w:val="DefaultParagraphFont"/>
    <w:rsid w:val="00C7180F"/>
    <w:rPr>
      <w:rFonts w:ascii="Arial Narrow" w:hAnsi="Arial Narrow"/>
      <w:smallCaps/>
    </w:rPr>
  </w:style>
  <w:style w:type="character" w:customStyle="1" w:styleId="Buttons">
    <w:name w:val="Buttons"/>
    <w:basedOn w:val="DefaultParagraphFont"/>
    <w:rsid w:val="00C7180F"/>
    <w:rPr>
      <w:b/>
    </w:rPr>
  </w:style>
  <w:style w:type="character" w:customStyle="1" w:styleId="Underlined">
    <w:name w:val="Underlined"/>
    <w:basedOn w:val="DefaultParagraphFont"/>
    <w:rsid w:val="00C7180F"/>
    <w:rPr>
      <w:u w:val="single"/>
    </w:rPr>
  </w:style>
  <w:style w:type="paragraph" w:customStyle="1" w:styleId="TableBodyTextRight">
    <w:name w:val="Table Body Text Right"/>
    <w:basedOn w:val="TableBodyText"/>
    <w:rsid w:val="00C7180F"/>
    <w:pPr>
      <w:widowControl w:val="0"/>
      <w:autoSpaceDE w:val="0"/>
      <w:autoSpaceDN w:val="0"/>
      <w:adjustRightInd w:val="0"/>
      <w:jc w:val="right"/>
    </w:pPr>
    <w:rPr>
      <w:rFonts w:cs="Arial"/>
      <w:szCs w:val="18"/>
    </w:rPr>
  </w:style>
  <w:style w:type="paragraph" w:customStyle="1" w:styleId="CopyrightText">
    <w:name w:val="Copyright Text"/>
    <w:basedOn w:val="BodyText"/>
    <w:rsid w:val="00C7180F"/>
    <w:rPr>
      <w:sz w:val="18"/>
    </w:rPr>
  </w:style>
  <w:style w:type="paragraph" w:customStyle="1" w:styleId="BodySmallRight">
    <w:name w:val="Body Small Right"/>
    <w:basedOn w:val="BodyTextRight"/>
    <w:rsid w:val="00C7180F"/>
    <w:rPr>
      <w:sz w:val="18"/>
      <w:szCs w:val="18"/>
    </w:rPr>
  </w:style>
  <w:style w:type="paragraph" w:customStyle="1" w:styleId="MarginEdition">
    <w:name w:val="Margin Edition"/>
    <w:basedOn w:val="MarginNote"/>
    <w:rsid w:val="00C7180F"/>
    <w:pPr>
      <w:spacing w:before="0" w:after="0"/>
    </w:pPr>
    <w:rPr>
      <w:rFonts w:ascii="Times New Roman" w:hAnsi="Times New Roman"/>
      <w:color w:val="999999"/>
    </w:rPr>
  </w:style>
  <w:style w:type="paragraph" w:customStyle="1" w:styleId="Spacer">
    <w:name w:val="Spacer"/>
    <w:basedOn w:val="Normal"/>
    <w:rsid w:val="00C7180F"/>
    <w:rPr>
      <w:sz w:val="2"/>
      <w:szCs w:val="2"/>
    </w:rPr>
  </w:style>
  <w:style w:type="character" w:customStyle="1" w:styleId="Small">
    <w:name w:val="Small"/>
    <w:basedOn w:val="DefaultParagraphFont"/>
    <w:rsid w:val="00C7180F"/>
    <w:rPr>
      <w:sz w:val="16"/>
    </w:rPr>
  </w:style>
  <w:style w:type="paragraph" w:customStyle="1" w:styleId="WideTable">
    <w:name w:val="Wide Table"/>
    <w:basedOn w:val="Normal"/>
    <w:rsid w:val="00C7180F"/>
    <w:pPr>
      <w:ind w:left="-1418"/>
    </w:pPr>
    <w:rPr>
      <w:sz w:val="2"/>
      <w:szCs w:val="2"/>
    </w:rPr>
  </w:style>
  <w:style w:type="character" w:styleId="PageNumber">
    <w:name w:val="page number"/>
    <w:basedOn w:val="DefaultParagraphFont"/>
    <w:rsid w:val="00C7180F"/>
  </w:style>
  <w:style w:type="paragraph" w:styleId="Quote">
    <w:name w:val="Quote"/>
    <w:basedOn w:val="Heading1"/>
    <w:link w:val="QuoteChar"/>
    <w:qFormat/>
    <w:rsid w:val="00C7180F"/>
    <w:rPr>
      <w:b w:val="0"/>
      <w:sz w:val="72"/>
      <w:szCs w:val="72"/>
      <w:lang w:val="en-NZ"/>
    </w:rPr>
  </w:style>
  <w:style w:type="character" w:customStyle="1" w:styleId="QuoteChar">
    <w:name w:val="Quote Char"/>
    <w:basedOn w:val="DefaultParagraphFont"/>
    <w:link w:val="Quote"/>
    <w:rsid w:val="00C71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80F"/>
    <w:pPr>
      <w:pageBreakBefore/>
    </w:pPr>
  </w:style>
  <w:style w:type="paragraph" w:customStyle="1" w:styleId="Border">
    <w:name w:val="Border"/>
    <w:basedOn w:val="Normal"/>
    <w:qFormat/>
    <w:rsid w:val="00C71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80F"/>
    <w:rPr>
      <w:b/>
      <w:bCs/>
      <w:i/>
      <w:iCs/>
      <w:color w:val="auto"/>
    </w:rPr>
  </w:style>
  <w:style w:type="paragraph" w:styleId="IntenseQuote">
    <w:name w:val="Intense Quote"/>
    <w:basedOn w:val="Normal"/>
    <w:next w:val="Normal"/>
    <w:link w:val="IntenseQuoteChar"/>
    <w:uiPriority w:val="30"/>
    <w:qFormat/>
    <w:rsid w:val="00C71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80F"/>
    <w:rPr>
      <w:smallCaps/>
      <w:color w:val="auto"/>
      <w:u w:val="single"/>
    </w:rPr>
  </w:style>
  <w:style w:type="character" w:styleId="IntenseReference">
    <w:name w:val="Intense Reference"/>
    <w:basedOn w:val="DefaultParagraphFont"/>
    <w:uiPriority w:val="32"/>
    <w:qFormat/>
    <w:rsid w:val="00C7180F"/>
    <w:rPr>
      <w:b/>
      <w:bCs/>
      <w:smallCaps/>
      <w:color w:val="auto"/>
      <w:spacing w:val="5"/>
      <w:u w:val="single"/>
    </w:rPr>
  </w:style>
  <w:style w:type="paragraph" w:customStyle="1" w:styleId="2ColumnHeading">
    <w:name w:val="2Column Heading"/>
    <w:basedOn w:val="BodyText"/>
    <w:qFormat/>
    <w:rsid w:val="00C7180F"/>
    <w:pPr>
      <w:spacing w:after="60"/>
      <w:ind w:left="-2268"/>
    </w:pPr>
    <w:rPr>
      <w:b/>
    </w:rPr>
  </w:style>
  <w:style w:type="paragraph" w:customStyle="1" w:styleId="Heading1TOC">
    <w:name w:val="Heading1 TOC"/>
    <w:basedOn w:val="Normal"/>
    <w:qFormat/>
    <w:rsid w:val="00C7180F"/>
    <w:pPr>
      <w:spacing w:before="240" w:after="120"/>
    </w:pPr>
    <w:rPr>
      <w:rFonts w:ascii="Times New Roman" w:hAnsi="Times New Roman"/>
      <w:b/>
      <w:sz w:val="32"/>
    </w:rPr>
  </w:style>
  <w:style w:type="paragraph" w:customStyle="1" w:styleId="Heading2TOC">
    <w:name w:val="Heading2 TOC"/>
    <w:basedOn w:val="Normal"/>
    <w:qFormat/>
    <w:rsid w:val="00C7180F"/>
    <w:pPr>
      <w:spacing w:before="240" w:after="60"/>
    </w:pPr>
    <w:rPr>
      <w:rFonts w:ascii="Times New Roman" w:hAnsi="Times New Roman"/>
      <w:b/>
      <w:sz w:val="28"/>
    </w:rPr>
  </w:style>
  <w:style w:type="character" w:customStyle="1" w:styleId="Underline">
    <w:name w:val="Underline"/>
    <w:basedOn w:val="DefaultParagraphFont"/>
    <w:qFormat/>
    <w:rsid w:val="00C7180F"/>
    <w:rPr>
      <w:u w:val="single"/>
    </w:rPr>
  </w:style>
  <w:style w:type="character" w:customStyle="1" w:styleId="BoldandItalics">
    <w:name w:val="Bold and Italics"/>
    <w:qFormat/>
    <w:rsid w:val="00C7180F"/>
    <w:rPr>
      <w:b/>
      <w:i/>
      <w:u w:val="none"/>
    </w:rPr>
  </w:style>
  <w:style w:type="paragraph" w:styleId="BalloonText">
    <w:name w:val="Balloon Text"/>
    <w:basedOn w:val="Normal"/>
    <w:link w:val="BalloonTextChar"/>
    <w:rsid w:val="00C7180F"/>
    <w:rPr>
      <w:rFonts w:ascii="Tahoma" w:hAnsi="Tahoma" w:cs="Tahoma"/>
      <w:sz w:val="16"/>
      <w:szCs w:val="16"/>
    </w:rPr>
  </w:style>
  <w:style w:type="character" w:customStyle="1" w:styleId="BalloonTextChar">
    <w:name w:val="Balloon Text Char"/>
    <w:basedOn w:val="DefaultParagraphFont"/>
    <w:link w:val="BalloonText"/>
    <w:rsid w:val="00C71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80F"/>
    <w:rPr>
      <w:b/>
      <w:color w:val="660033"/>
      <w:spacing w:val="0"/>
    </w:rPr>
  </w:style>
  <w:style w:type="paragraph" w:customStyle="1" w:styleId="Nameditemlist">
    <w:name w:val="Named item list"/>
    <w:basedOn w:val="BodyText"/>
    <w:qFormat/>
    <w:rsid w:val="00C7180F"/>
    <w:pPr>
      <w:tabs>
        <w:tab w:val="left" w:pos="2835"/>
      </w:tabs>
      <w:ind w:left="2835" w:hanging="2835"/>
    </w:pPr>
  </w:style>
  <w:style w:type="paragraph" w:customStyle="1" w:styleId="BodyTextnopadding">
    <w:name w:val="Body Text no padding"/>
    <w:basedOn w:val="BodyText"/>
    <w:qFormat/>
    <w:rsid w:val="00C7180F"/>
    <w:pPr>
      <w:spacing w:before="0" w:after="0"/>
    </w:pPr>
  </w:style>
  <w:style w:type="character" w:styleId="Hyperlink">
    <w:name w:val="Hyperlink"/>
    <w:basedOn w:val="DefaultParagraphFont"/>
    <w:uiPriority w:val="99"/>
    <w:unhideWhenUsed/>
    <w:rsid w:val="00ED0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6542</Characters>
  <Application>Microsoft Office Word</Application>
  <DocSecurity>0</DocSecurity>
  <Lines>198</Lines>
  <Paragraphs>130</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HLTCCD001 Apply an understanding of the health care system to clinical coding practice</dc:title>
  <dc:subject>Approved</dc:subject>
  <dc:creator>HumanAbility</dc:creator>
  <cp:keywords>Release: 2</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