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4E30" w:rsidP="00E24E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HLTCCD001 Apply an understanding of the health care system to clinical coding practice</w:t>
      </w:r>
      <w:r>
        <w:fldChar w:fldCharType="end"/>
      </w:r>
    </w:p>
    <w:p w:rsidR="00E24E30" w:rsidP="00E24E30">
      <w:pPr>
        <w:pStyle w:val="Version"/>
        <w:sectPr w:rsidSect="00B464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46424" w:rsidP="00B46424">
      <w:pPr>
        <w:pStyle w:val="SuperHeading"/>
      </w:pPr>
      <w:r w:rsidRPr="00B46424">
        <w:t>Assessment Requirements for HLTCCD001 Apply an understanding of the health care system to clinical coding practice</w:t>
      </w:r>
    </w:p>
    <w:p w:rsidR="00000000" w:rsidRPr="00B46424" w:rsidP="00B46424">
      <w:pPr>
        <w:pStyle w:val="Heading1"/>
      </w:pPr>
      <w:bookmarkStart w:id="1" w:name="O_1200171"/>
      <w:bookmarkEnd w:id="1"/>
      <w:r w:rsidRPr="00B4642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B464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424" w:rsidP="00B46424">
            <w:pPr>
              <w:pStyle w:val="BodyText"/>
            </w:pPr>
            <w:r w:rsidRPr="00B46424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424">
            <w:pPr>
              <w:pStyle w:val="BodyText"/>
              <w:rPr>
                <w:lang w:val="en-NZ"/>
              </w:rPr>
            </w:pPr>
            <w:r w:rsidRPr="00B46424">
              <w:rPr>
                <w:rStyle w:val="SpecialBold"/>
              </w:rPr>
              <w:t>Comments</w:t>
            </w:r>
          </w:p>
        </w:tc>
      </w:tr>
      <w:tr w:rsidTr="00B464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424">
            <w:pPr>
              <w:pStyle w:val="BodyText"/>
              <w:rPr>
                <w:lang w:val="en-NZ"/>
              </w:rPr>
            </w:pPr>
            <w:r w:rsidRPr="00B46424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424" w:rsidP="00B46424">
            <w:pPr>
              <w:pStyle w:val="BodyText"/>
            </w:pPr>
            <w:r w:rsidRPr="00B46424">
              <w:t>Release 2 HLTCCD001 Apply an understanding of the health care system to clinical coding practice supersedes and is equivalent to Release 1 HLTCCD001 Apply an understanding of the health care system to clinical coding practice.</w:t>
            </w:r>
          </w:p>
          <w:p w:rsidR="00000000" w:rsidRPr="00B46424" w:rsidP="00B46424">
            <w:pPr>
              <w:pStyle w:val="BodyText"/>
            </w:pPr>
            <w:r w:rsidRPr="00B46424">
              <w:t>Updated:</w:t>
            </w:r>
          </w:p>
          <w:p w:rsidR="00000000" w:rsidP="00B46424">
            <w:pPr>
              <w:pStyle w:val="BodyText"/>
              <w:rPr>
                <w:lang w:val="en-NZ"/>
              </w:rPr>
            </w:pPr>
            <w:r w:rsidRPr="00B46424">
              <w:t xml:space="preserve">Mapping details and </w:t>
            </w:r>
            <w:r w:rsidRPr="00B46424">
              <w:t>minor corrections.</w:t>
            </w:r>
          </w:p>
        </w:tc>
      </w:tr>
      <w:tr w:rsidTr="00B464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424">
            <w:pPr>
              <w:pStyle w:val="BodyText"/>
              <w:rPr>
                <w:lang w:val="en-NZ"/>
              </w:rPr>
            </w:pPr>
            <w:r w:rsidRPr="00B46424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424" w:rsidP="00B46424">
            <w:pPr>
              <w:pStyle w:val="BodyText"/>
            </w:pPr>
            <w:r w:rsidRPr="00B46424">
              <w:t>HLTCCD001 Apply an understanding of the health care system to clinical coding practice no equivalent unit.</w:t>
            </w:r>
          </w:p>
        </w:tc>
      </w:tr>
    </w:tbl>
    <w:p w:rsidR="00000000" w:rsidRPr="00B46424" w:rsidP="00B46424">
      <w:pPr>
        <w:pStyle w:val="BodyText"/>
      </w:pPr>
    </w:p>
    <w:p w:rsidR="00000000" w:rsidRPr="00B46424" w:rsidP="00B46424">
      <w:pPr>
        <w:pStyle w:val="AllowPageBreak"/>
      </w:pPr>
    </w:p>
    <w:p w:rsidR="00000000" w:rsidRPr="00B46424" w:rsidP="00B46424">
      <w:pPr>
        <w:pStyle w:val="Heading1"/>
      </w:pPr>
      <w:bookmarkStart w:id="2" w:name="O_1200170"/>
      <w:bookmarkEnd w:id="2"/>
      <w:r w:rsidRPr="00B46424">
        <w:t>Performance Evidence</w:t>
      </w:r>
    </w:p>
    <w:p w:rsidR="00000000" w:rsidRPr="00B46424" w:rsidP="00E24E30">
      <w:pPr>
        <w:pStyle w:val="BodyText"/>
      </w:pPr>
      <w:r w:rsidRPr="00B46424">
        <w:t>Evidence of the ability to complete tasks outlined in elements and performance criteria of this unit in the context of the job role, and:</w:t>
      </w:r>
    </w:p>
    <w:p w:rsidR="00000000" w:rsidRPr="00B46424" w:rsidP="00B46424">
      <w:pPr>
        <w:pStyle w:val="ListBullet"/>
      </w:pPr>
      <w:r w:rsidRPr="00B46424">
        <w:t>identify at least three different national or jurisdictional policies and how they impact on clinical coding work</w:t>
      </w:r>
    </w:p>
    <w:p w:rsidR="00000000" w:rsidRPr="00B46424" w:rsidP="00B46424">
      <w:pPr>
        <w:pStyle w:val="ListBullet"/>
      </w:pPr>
      <w:r w:rsidRPr="00B46424">
        <w:t>ide</w:t>
      </w:r>
      <w:r w:rsidRPr="00B46424">
        <w:t>ntify at least three models of health care service funding including:</w:t>
      </w:r>
    </w:p>
    <w:p w:rsidR="00000000" w:rsidRPr="00B46424" w:rsidP="00B46424">
      <w:pPr>
        <w:pStyle w:val="ListBullet2"/>
      </w:pPr>
      <w:r w:rsidRPr="00B46424">
        <w:t xml:space="preserve">principles and purpose </w:t>
      </w:r>
    </w:p>
    <w:p w:rsidR="00000000" w:rsidRPr="00B46424" w:rsidP="00B46424">
      <w:pPr>
        <w:pStyle w:val="ListBullet2"/>
      </w:pPr>
      <w:r w:rsidRPr="00B46424">
        <w:t>effect on clinical coding procedures</w:t>
      </w:r>
    </w:p>
    <w:p w:rsidR="00000000" w:rsidRPr="00B46424" w:rsidP="00B46424">
      <w:pPr>
        <w:pStyle w:val="ListBullet"/>
      </w:pPr>
      <w:r w:rsidRPr="00B46424">
        <w:t>for at least three different health care service providers identify:</w:t>
      </w:r>
    </w:p>
    <w:p w:rsidR="00000000" w:rsidRPr="00B46424" w:rsidP="00B46424">
      <w:pPr>
        <w:pStyle w:val="ListBullet2"/>
      </w:pPr>
      <w:r w:rsidRPr="00B46424">
        <w:t xml:space="preserve">structure and functions </w:t>
      </w:r>
    </w:p>
    <w:p w:rsidR="00000000" w:rsidRPr="00B46424" w:rsidP="00B46424">
      <w:pPr>
        <w:pStyle w:val="ListBullet2"/>
      </w:pPr>
      <w:r w:rsidRPr="00B46424">
        <w:t>the range of health professi</w:t>
      </w:r>
      <w:r w:rsidRPr="00B46424">
        <w:t>onal roles and how they support patient outcomes</w:t>
      </w:r>
    </w:p>
    <w:p w:rsidR="00000000" w:rsidRPr="00B46424" w:rsidP="00B46424">
      <w:pPr>
        <w:pStyle w:val="ListBullet2"/>
      </w:pPr>
      <w:r w:rsidRPr="00B46424">
        <w:t xml:space="preserve">variations in patient management pathways </w:t>
      </w:r>
    </w:p>
    <w:p w:rsidR="00000000" w:rsidRPr="00B46424" w:rsidP="00B46424">
      <w:pPr>
        <w:pStyle w:val="ListBullet2"/>
      </w:pPr>
      <w:r w:rsidRPr="00B46424">
        <w:t>how the above factors impact on clinical coding work.</w:t>
      </w:r>
    </w:p>
    <w:p w:rsidR="00000000" w:rsidRPr="00B46424" w:rsidP="00B46424">
      <w:pPr>
        <w:pStyle w:val="AllowPageBreak"/>
      </w:pPr>
    </w:p>
    <w:p w:rsidR="00000000" w:rsidRPr="00B46424" w:rsidP="00B46424">
      <w:pPr>
        <w:pStyle w:val="Heading1"/>
      </w:pPr>
      <w:bookmarkStart w:id="3" w:name="O_1200169"/>
      <w:bookmarkEnd w:id="3"/>
      <w:r w:rsidRPr="00B46424">
        <w:t>Knowledge Evidence</w:t>
      </w:r>
    </w:p>
    <w:p w:rsidR="00000000" w:rsidRPr="00B46424" w:rsidP="00E24E30">
      <w:pPr>
        <w:pStyle w:val="BodyText"/>
      </w:pPr>
      <w:r w:rsidRPr="00B46424">
        <w:t>Demonstrated knowledge required to complete the tasks outlined in elements and performance criteria of this unit:</w:t>
      </w:r>
    </w:p>
    <w:p w:rsidR="00000000" w:rsidRPr="00B46424" w:rsidP="00B46424">
      <w:pPr>
        <w:pStyle w:val="ListBullet"/>
      </w:pPr>
      <w:r w:rsidRPr="00B46424">
        <w:t>national and jurisdictional legislation, agreements and policies relating to clinical coding</w:t>
      </w:r>
    </w:p>
    <w:p w:rsidR="00000000" w:rsidRPr="00B46424" w:rsidP="00B46424">
      <w:pPr>
        <w:pStyle w:val="ListBullet"/>
      </w:pPr>
      <w:r w:rsidRPr="00B46424">
        <w:t>scope, structure and functions of public and pri</w:t>
      </w:r>
      <w:r w:rsidRPr="00B46424">
        <w:t>vate hospital and other health care service providers</w:t>
      </w:r>
    </w:p>
    <w:p w:rsidR="00000000" w:rsidRPr="00B46424" w:rsidP="00B46424">
      <w:pPr>
        <w:pStyle w:val="ListBullet"/>
      </w:pPr>
      <w:r w:rsidRPr="00B46424">
        <w:t>roles of health care professionals:</w:t>
      </w:r>
    </w:p>
    <w:p w:rsidR="00000000" w:rsidRPr="00B46424" w:rsidP="00B46424">
      <w:pPr>
        <w:pStyle w:val="ListBullet2"/>
      </w:pPr>
      <w:r w:rsidRPr="00B46424">
        <w:t>types of roles</w:t>
      </w:r>
    </w:p>
    <w:p w:rsidR="00000000" w:rsidRPr="00B46424" w:rsidP="00B46424">
      <w:pPr>
        <w:pStyle w:val="ListBullet2"/>
      </w:pPr>
      <w:r w:rsidRPr="00B46424">
        <w:t>scope of practice of roles</w:t>
      </w:r>
    </w:p>
    <w:p w:rsidR="00000000" w:rsidRPr="00B46424" w:rsidP="00B46424">
      <w:pPr>
        <w:pStyle w:val="ListBullet2"/>
      </w:pPr>
      <w:r w:rsidRPr="00B46424">
        <w:t>responsibilities and reporting lines</w:t>
      </w:r>
    </w:p>
    <w:p w:rsidR="00000000" w:rsidRPr="00B46424" w:rsidP="00B46424">
      <w:pPr>
        <w:pStyle w:val="ListBullet2"/>
      </w:pPr>
      <w:r w:rsidRPr="00B46424">
        <w:t>clinical disciplines as listed on the Australian Health Practitioner Regulation Agency</w:t>
      </w:r>
      <w:r w:rsidRPr="00B46424">
        <w:t xml:space="preserve"> (AHPRA) website for registered practitioners</w:t>
      </w:r>
    </w:p>
    <w:p w:rsidR="00000000" w:rsidRPr="00B46424" w:rsidP="00B46424">
      <w:pPr>
        <w:pStyle w:val="ListBullet"/>
      </w:pPr>
      <w:r w:rsidRPr="00B46424">
        <w:t>funding models for health care service providers:</w:t>
      </w:r>
    </w:p>
    <w:p w:rsidR="00000000" w:rsidRPr="00B46424" w:rsidP="00B46424">
      <w:pPr>
        <w:pStyle w:val="ListBullet2"/>
      </w:pPr>
      <w:r w:rsidRPr="00B46424">
        <w:t>source</w:t>
      </w:r>
    </w:p>
    <w:p w:rsidR="00000000" w:rsidRPr="00B46424" w:rsidP="00B46424">
      <w:pPr>
        <w:pStyle w:val="ListBullet2"/>
      </w:pPr>
      <w:r w:rsidRPr="00B46424">
        <w:t>purpose</w:t>
      </w:r>
    </w:p>
    <w:p w:rsidR="00000000" w:rsidRPr="00B46424" w:rsidP="00B46424">
      <w:pPr>
        <w:pStyle w:val="ListBullet2"/>
      </w:pPr>
      <w:r w:rsidRPr="00B46424">
        <w:t>structure</w:t>
      </w:r>
    </w:p>
    <w:p w:rsidR="00000000" w:rsidRPr="00B46424" w:rsidP="00B46424">
      <w:pPr>
        <w:pStyle w:val="ListBullet"/>
      </w:pPr>
      <w:r w:rsidRPr="00B46424">
        <w:t>concept of clinical coding and Diagnosis Related Groups (DRG)</w:t>
      </w:r>
    </w:p>
    <w:p w:rsidR="00000000" w:rsidRPr="00B46424" w:rsidP="00B46424">
      <w:pPr>
        <w:pStyle w:val="ListBullet"/>
      </w:pPr>
      <w:r w:rsidRPr="00B46424">
        <w:t>uses of coded data including health care services planning and monitor</w:t>
      </w:r>
      <w:r w:rsidRPr="00B46424">
        <w:t>ing, research, epidemiology, funding model development and quality improvement activities</w:t>
      </w:r>
    </w:p>
    <w:p w:rsidR="00000000" w:rsidRPr="00B46424" w:rsidP="00B46424">
      <w:pPr>
        <w:pStyle w:val="ListBullet"/>
      </w:pPr>
      <w:r w:rsidRPr="00B46424">
        <w:t>different pathways for management of patients:</w:t>
      </w:r>
    </w:p>
    <w:p w:rsidR="00000000" w:rsidRPr="00B46424" w:rsidP="00B46424">
      <w:pPr>
        <w:pStyle w:val="ListBullet2"/>
      </w:pPr>
      <w:r w:rsidRPr="00B46424">
        <w:t>non-admitted</w:t>
      </w:r>
    </w:p>
    <w:p w:rsidR="00000000" w:rsidRPr="00B46424" w:rsidP="00B46424">
      <w:pPr>
        <w:pStyle w:val="ListBullet2"/>
      </w:pPr>
      <w:r w:rsidRPr="00B46424">
        <w:t>emergency</w:t>
      </w:r>
    </w:p>
    <w:p w:rsidR="00000000" w:rsidRPr="00B46424" w:rsidP="00B46424">
      <w:pPr>
        <w:pStyle w:val="ListBullet2"/>
      </w:pPr>
      <w:r w:rsidRPr="00B46424">
        <w:t>admitted including same day admissions</w:t>
      </w:r>
    </w:p>
    <w:p w:rsidR="00000000" w:rsidRPr="00B46424" w:rsidP="00B46424">
      <w:pPr>
        <w:pStyle w:val="ListBullet2"/>
      </w:pPr>
      <w:r w:rsidRPr="00B46424">
        <w:t>sub-acute and non-acute</w:t>
      </w:r>
    </w:p>
    <w:p w:rsidR="00000000" w:rsidRPr="00B46424" w:rsidP="00B46424">
      <w:pPr>
        <w:pStyle w:val="ListBullet2"/>
      </w:pPr>
      <w:r w:rsidRPr="00B46424">
        <w:t xml:space="preserve">post discharge </w:t>
      </w:r>
    </w:p>
    <w:p w:rsidR="00000000" w:rsidRPr="00B46424" w:rsidP="00B46424">
      <w:pPr>
        <w:pStyle w:val="ListBullet"/>
      </w:pPr>
      <w:r w:rsidRPr="00B46424">
        <w:t>impact of incorrect coding of clinical data</w:t>
      </w:r>
    </w:p>
    <w:p w:rsidR="00000000" w:rsidRPr="00B46424" w:rsidP="00B46424">
      <w:pPr>
        <w:pStyle w:val="ListBullet"/>
      </w:pPr>
      <w:r w:rsidRPr="00B46424">
        <w:t>external factors influencing the health care system and their impact on clinical coding outcomes:</w:t>
      </w:r>
    </w:p>
    <w:p w:rsidR="00000000" w:rsidRPr="00B46424" w:rsidP="00B46424">
      <w:pPr>
        <w:pStyle w:val="ListBullet2"/>
      </w:pPr>
      <w:r w:rsidRPr="00B46424">
        <w:t>political</w:t>
      </w:r>
    </w:p>
    <w:p w:rsidR="00000000" w:rsidRPr="00B46424" w:rsidP="00B46424">
      <w:pPr>
        <w:pStyle w:val="ListBullet2"/>
      </w:pPr>
      <w:r w:rsidRPr="00B46424">
        <w:t>economic</w:t>
      </w:r>
    </w:p>
    <w:p w:rsidR="00000000" w:rsidRPr="00B46424" w:rsidP="00B46424">
      <w:pPr>
        <w:pStyle w:val="ListBullet2"/>
      </w:pPr>
      <w:r w:rsidRPr="00B46424">
        <w:t>social.</w:t>
      </w:r>
    </w:p>
    <w:p w:rsidR="00000000" w:rsidRPr="00B46424" w:rsidP="00B46424">
      <w:pPr>
        <w:pStyle w:val="AllowPageBreak"/>
      </w:pPr>
    </w:p>
    <w:p w:rsidR="00000000" w:rsidRPr="00B46424" w:rsidP="00B46424">
      <w:pPr>
        <w:pStyle w:val="Heading1"/>
      </w:pPr>
      <w:bookmarkStart w:id="4" w:name="O_1200168"/>
      <w:bookmarkEnd w:id="4"/>
      <w:r w:rsidRPr="00B46424">
        <w:t>Assessment Conditions</w:t>
      </w:r>
    </w:p>
    <w:p w:rsidR="00000000" w:rsidRPr="00B46424" w:rsidP="00E24E30">
      <w:pPr>
        <w:pStyle w:val="BodyText"/>
      </w:pPr>
      <w:r w:rsidRPr="00B46424">
        <w:t xml:space="preserve">Skills must be demonstrated in the workplace </w:t>
      </w:r>
      <w:r w:rsidRPr="00B46424">
        <w:t>or in a simulated environment that reflects workplace conditions.</w:t>
      </w:r>
    </w:p>
    <w:p w:rsidR="00000000" w:rsidRPr="00B46424" w:rsidP="00E24E30">
      <w:pPr>
        <w:pStyle w:val="BodyText"/>
      </w:pPr>
      <w:r w:rsidRPr="00B46424">
        <w:t>Assessment must ensure access to:</w:t>
      </w:r>
    </w:p>
    <w:p w:rsidR="00000000" w:rsidRPr="00B46424" w:rsidP="00B46424">
      <w:pPr>
        <w:pStyle w:val="ListBullet"/>
      </w:pPr>
      <w:r w:rsidRPr="00B46424">
        <w:t>organisational policies and procedures</w:t>
      </w:r>
    </w:p>
    <w:p w:rsidR="00000000" w:rsidRPr="00B46424" w:rsidP="00B46424">
      <w:pPr>
        <w:pStyle w:val="ListBullet"/>
      </w:pPr>
      <w:r w:rsidRPr="00B46424">
        <w:t>National and State or Territory agreement and legislation relevant to clinical coding</w:t>
      </w:r>
    </w:p>
    <w:p w:rsidR="00000000" w:rsidRPr="00B46424" w:rsidP="00B46424">
      <w:pPr>
        <w:pStyle w:val="ListBullet"/>
      </w:pPr>
      <w:r w:rsidRPr="00B46424">
        <w:t>sources of information on factors that relate to and impact on the work of clinical coding</w:t>
      </w:r>
    </w:p>
    <w:p w:rsidR="00000000" w:rsidRPr="00B46424" w:rsidP="00E24E30">
      <w:pPr>
        <w:pStyle w:val="BodyText"/>
      </w:pPr>
      <w:r w:rsidRPr="00B46424">
        <w:t>Assessors must satisfy the Standards for Registered Training Organisations’ requirements for assessors.</w:t>
      </w:r>
    </w:p>
    <w:p w:rsidR="00000000" w:rsidRPr="00B46424" w:rsidP="00B46424">
      <w:pPr>
        <w:pStyle w:val="Heading1"/>
      </w:pPr>
      <w:bookmarkStart w:id="5" w:name="O_1200182"/>
      <w:bookmarkEnd w:id="5"/>
      <w:r w:rsidRPr="00B46424">
        <w:t>Links</w:t>
      </w:r>
    </w:p>
    <w:p w:rsidR="00000000" w:rsidRPr="00B46424" w:rsidP="00E24E30">
      <w:pPr>
        <w:pStyle w:val="BodyText"/>
      </w:pPr>
      <w:r w:rsidRPr="00B46424">
        <w:t>Companion Volume implementation guid</w:t>
      </w:r>
      <w:r w:rsidRPr="00B46424">
        <w:t xml:space="preserve">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C12FCD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B46424" w:rsidP="00B46424"/>
    <w:sectPr w:rsidSect="00B464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4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424" w:rsidRPr="00E24E30" w:rsidP="00E24E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4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E30" w:rsidP="00B464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4E30" w:rsidP="00B464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24E30" w:rsidP="00B464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4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E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6424" w:rsidRPr="00E24E30" w:rsidP="00E24E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4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E30" w:rsidRPr="002D2AF8" w:rsidP="00B464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HLTCCD001 Apply an understanding of the health care system to clinical coding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E24E30" w:rsidP="00B464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D8AD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78B9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6EB3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64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64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64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64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64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64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64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64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64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64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64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6424"/>
  </w:style>
  <w:style w:type="character" w:customStyle="1" w:styleId="Heading1Char">
    <w:name w:val="Heading 1 Char"/>
    <w:basedOn w:val="DefaultParagraphFont"/>
    <w:link w:val="Heading1"/>
    <w:rsid w:val="00B464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64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64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642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6424"/>
    <w:rPr>
      <w:b/>
      <w:spacing w:val="0"/>
    </w:rPr>
  </w:style>
  <w:style w:type="paragraph" w:styleId="ListBullet2">
    <w:name w:val="List Bullet 2"/>
    <w:basedOn w:val="List2"/>
    <w:rsid w:val="00B4642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464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64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64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64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64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64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64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64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64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64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64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64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64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64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64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64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64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64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64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64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64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64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64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64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64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464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64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64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64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64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64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64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64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64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6424"/>
    <w:rPr>
      <w:i/>
    </w:rPr>
  </w:style>
  <w:style w:type="paragraph" w:styleId="Caption">
    <w:name w:val="caption"/>
    <w:basedOn w:val="BodyText"/>
    <w:next w:val="Normal"/>
    <w:qFormat/>
    <w:rsid w:val="00B464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64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64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6424"/>
  </w:style>
  <w:style w:type="paragraph" w:styleId="TableofFigures">
    <w:name w:val="table of figures"/>
    <w:basedOn w:val="Normal"/>
    <w:next w:val="Normal"/>
    <w:semiHidden/>
    <w:rsid w:val="00B464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642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46424"/>
    <w:rPr>
      <w:rFonts w:ascii="Wingdings" w:hAnsi="Wingdings"/>
    </w:rPr>
  </w:style>
  <w:style w:type="paragraph" w:customStyle="1" w:styleId="TableHeading">
    <w:name w:val="Table Heading"/>
    <w:basedOn w:val="HeadingBase"/>
    <w:rsid w:val="00B464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6424"/>
    <w:rPr>
      <w:color w:val="0033CC"/>
      <w:u w:val="none"/>
    </w:rPr>
  </w:style>
  <w:style w:type="paragraph" w:customStyle="1" w:styleId="BodyTextRight">
    <w:name w:val="Body Text Right"/>
    <w:basedOn w:val="BodyText"/>
    <w:rsid w:val="00B464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64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642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64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64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64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6424"/>
    <w:rPr>
      <w:sz w:val="32"/>
    </w:rPr>
  </w:style>
  <w:style w:type="paragraph" w:customStyle="1" w:styleId="HeadingProcedure">
    <w:name w:val="Heading Procedure"/>
    <w:basedOn w:val="HeadingBase"/>
    <w:next w:val="Normal"/>
    <w:rsid w:val="00B464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6424"/>
    <w:pPr>
      <w:spacing w:before="60" w:after="60"/>
    </w:pPr>
  </w:style>
  <w:style w:type="paragraph" w:styleId="ListContinue">
    <w:name w:val="List Continue"/>
    <w:basedOn w:val="List"/>
    <w:rsid w:val="00B46424"/>
    <w:pPr>
      <w:ind w:firstLine="0"/>
    </w:pPr>
  </w:style>
  <w:style w:type="paragraph" w:customStyle="1" w:styleId="ListNote">
    <w:name w:val="List Note"/>
    <w:basedOn w:val="List"/>
    <w:rsid w:val="00B464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64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64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6424"/>
    <w:rPr>
      <w:rFonts w:ascii="Courier New" w:hAnsi="Courier New"/>
    </w:rPr>
  </w:style>
  <w:style w:type="paragraph" w:customStyle="1" w:styleId="NoteBullet">
    <w:name w:val="Note Bullet"/>
    <w:basedOn w:val="Note"/>
    <w:rsid w:val="00B464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64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64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64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642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464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64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6424"/>
    <w:rPr>
      <w:b/>
      <w:smallCaps/>
    </w:rPr>
  </w:style>
  <w:style w:type="paragraph" w:customStyle="1" w:styleId="TableListNumber">
    <w:name w:val="Table List Number"/>
    <w:basedOn w:val="ListNumber"/>
    <w:rsid w:val="00B464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64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6424"/>
    <w:pPr>
      <w:numPr>
        <w:numId w:val="9"/>
      </w:numPr>
    </w:pPr>
  </w:style>
  <w:style w:type="paragraph" w:customStyle="1" w:styleId="ListAlpha2">
    <w:name w:val="List Alpha 2"/>
    <w:basedOn w:val="List2"/>
    <w:rsid w:val="00B46424"/>
    <w:pPr>
      <w:numPr>
        <w:numId w:val="8"/>
      </w:numPr>
    </w:pPr>
  </w:style>
  <w:style w:type="paragraph" w:styleId="List2">
    <w:name w:val="List 2"/>
    <w:basedOn w:val="BodyText"/>
    <w:rsid w:val="00B464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64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64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64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642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642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46424"/>
    <w:pPr>
      <w:numPr>
        <w:numId w:val="4"/>
      </w:numPr>
    </w:pPr>
  </w:style>
  <w:style w:type="paragraph" w:styleId="ListContinue2">
    <w:name w:val="List Continue 2"/>
    <w:basedOn w:val="List2"/>
    <w:rsid w:val="00B46424"/>
    <w:pPr>
      <w:ind w:firstLine="0"/>
    </w:pPr>
  </w:style>
  <w:style w:type="paragraph" w:styleId="ListContinue3">
    <w:name w:val="List Continue 3"/>
    <w:basedOn w:val="List3"/>
    <w:rsid w:val="00B46424"/>
    <w:pPr>
      <w:ind w:left="1021" w:firstLine="0"/>
    </w:pPr>
  </w:style>
  <w:style w:type="paragraph" w:styleId="ListContinue4">
    <w:name w:val="List Continue 4"/>
    <w:basedOn w:val="List4"/>
    <w:rsid w:val="00B46424"/>
    <w:pPr>
      <w:ind w:firstLine="0"/>
    </w:pPr>
  </w:style>
  <w:style w:type="paragraph" w:styleId="ListContinue5">
    <w:name w:val="List Continue 5"/>
    <w:basedOn w:val="List5"/>
    <w:rsid w:val="00B46424"/>
    <w:pPr>
      <w:ind w:firstLine="0"/>
    </w:pPr>
  </w:style>
  <w:style w:type="paragraph" w:styleId="ListNumber3">
    <w:name w:val="List Number 3"/>
    <w:basedOn w:val="List3"/>
    <w:rsid w:val="00B46424"/>
    <w:pPr>
      <w:numPr>
        <w:numId w:val="5"/>
      </w:numPr>
    </w:pPr>
  </w:style>
  <w:style w:type="paragraph" w:styleId="ListNumber4">
    <w:name w:val="List Number 4"/>
    <w:basedOn w:val="List4"/>
    <w:rsid w:val="00B46424"/>
    <w:pPr>
      <w:numPr>
        <w:numId w:val="6"/>
      </w:numPr>
    </w:pPr>
  </w:style>
  <w:style w:type="paragraph" w:styleId="ListNumber5">
    <w:name w:val="List Number 5"/>
    <w:basedOn w:val="List5"/>
    <w:rsid w:val="00B46424"/>
    <w:pPr>
      <w:numPr>
        <w:numId w:val="7"/>
      </w:numPr>
    </w:pPr>
  </w:style>
  <w:style w:type="paragraph" w:styleId="BlockText">
    <w:name w:val="Block Text"/>
    <w:basedOn w:val="Normal"/>
    <w:rsid w:val="00B464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64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6424"/>
    <w:rPr>
      <w:sz w:val="16"/>
      <w:vertAlign w:val="superscript"/>
    </w:rPr>
  </w:style>
  <w:style w:type="character" w:customStyle="1" w:styleId="Symbols">
    <w:name w:val="Symbols"/>
    <w:basedOn w:val="DefaultParagraphFont"/>
    <w:rsid w:val="00B46424"/>
    <w:rPr>
      <w:rFonts w:ascii="Symbol" w:hAnsi="Symbol"/>
    </w:rPr>
  </w:style>
  <w:style w:type="character" w:customStyle="1" w:styleId="MenuOptions">
    <w:name w:val="Menu Options"/>
    <w:basedOn w:val="DefaultParagraphFont"/>
    <w:rsid w:val="00B464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6424"/>
    <w:rPr>
      <w:b/>
    </w:rPr>
  </w:style>
  <w:style w:type="character" w:customStyle="1" w:styleId="Underlined">
    <w:name w:val="Underlined"/>
    <w:basedOn w:val="DefaultParagraphFont"/>
    <w:rsid w:val="00B46424"/>
    <w:rPr>
      <w:u w:val="single"/>
    </w:rPr>
  </w:style>
  <w:style w:type="paragraph" w:customStyle="1" w:styleId="TableBodyTextRight">
    <w:name w:val="Table Body Text Right"/>
    <w:basedOn w:val="TableBodyText"/>
    <w:rsid w:val="00B464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6424"/>
    <w:rPr>
      <w:sz w:val="18"/>
    </w:rPr>
  </w:style>
  <w:style w:type="paragraph" w:customStyle="1" w:styleId="BodySmallRight">
    <w:name w:val="Body Small Right"/>
    <w:basedOn w:val="BodyTextRight"/>
    <w:rsid w:val="00B46424"/>
    <w:rPr>
      <w:sz w:val="18"/>
      <w:szCs w:val="18"/>
    </w:rPr>
  </w:style>
  <w:style w:type="paragraph" w:customStyle="1" w:styleId="MarginEdition">
    <w:name w:val="Margin Edition"/>
    <w:basedOn w:val="MarginNote"/>
    <w:rsid w:val="00B464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6424"/>
    <w:rPr>
      <w:sz w:val="2"/>
      <w:szCs w:val="2"/>
    </w:rPr>
  </w:style>
  <w:style w:type="character" w:customStyle="1" w:styleId="Small">
    <w:name w:val="Small"/>
    <w:basedOn w:val="DefaultParagraphFont"/>
    <w:rsid w:val="00B46424"/>
    <w:rPr>
      <w:sz w:val="16"/>
    </w:rPr>
  </w:style>
  <w:style w:type="paragraph" w:customStyle="1" w:styleId="WideTable">
    <w:name w:val="Wide Table"/>
    <w:basedOn w:val="Normal"/>
    <w:rsid w:val="00B464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6424"/>
  </w:style>
  <w:style w:type="paragraph" w:styleId="Quote">
    <w:name w:val="Quote"/>
    <w:basedOn w:val="Heading1"/>
    <w:link w:val="QuoteChar"/>
    <w:qFormat/>
    <w:rsid w:val="00B464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64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6424"/>
    <w:pPr>
      <w:pageBreakBefore/>
    </w:pPr>
  </w:style>
  <w:style w:type="paragraph" w:customStyle="1" w:styleId="Border">
    <w:name w:val="Border"/>
    <w:basedOn w:val="Normal"/>
    <w:qFormat/>
    <w:rsid w:val="00B464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64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64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64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64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64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64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64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64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6424"/>
    <w:rPr>
      <w:u w:val="single"/>
    </w:rPr>
  </w:style>
  <w:style w:type="character" w:customStyle="1" w:styleId="BoldandItalics">
    <w:name w:val="Bold and Italics"/>
    <w:qFormat/>
    <w:rsid w:val="00B46424"/>
    <w:rPr>
      <w:b/>
      <w:i/>
      <w:u w:val="none"/>
    </w:rPr>
  </w:style>
  <w:style w:type="paragraph" w:styleId="BalloonText">
    <w:name w:val="Balloon Text"/>
    <w:basedOn w:val="Normal"/>
    <w:link w:val="BalloonTextChar"/>
    <w:rsid w:val="00B464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64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64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64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64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64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6424"/>
    <w:pPr>
      <w:spacing w:before="0" w:after="0"/>
    </w:pPr>
  </w:style>
  <w:style w:type="paragraph" w:customStyle="1" w:styleId="BodyTextBold">
    <w:name w:val="Body Text Bold"/>
    <w:basedOn w:val="BodyText"/>
    <w:qFormat/>
    <w:rsid w:val="00B46424"/>
    <w:rPr>
      <w:b/>
    </w:rPr>
  </w:style>
  <w:style w:type="character" w:styleId="Hyperlink">
    <w:name w:val="Hyperlink"/>
    <w:basedOn w:val="DefaultParagraphFont"/>
    <w:uiPriority w:val="99"/>
    <w:unhideWhenUsed/>
    <w:rsid w:val="00E24E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456</Words>
  <Characters>2907</Characters>
  <Application>Microsoft Office Word</Application>
  <DocSecurity>0</DocSecurity>
  <Lines>88</Lines>
  <Paragraphs>70</Paragraphs>
  <ScaleCrop>false</ScaleCrop>
  <Company>Author-it Software Corporation Ltd.</Company>
  <LinksUpToDate>false</LinksUpToDate>
  <CharactersWithSpaces>3293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HLTCCD001 Apply an understanding of the health care system to clinical coding practice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2023-07-01T04:03:00Z</dcterms:created>
  <dcterms:modified xsi:type="dcterms:W3CDTF">2023-07-01T04:03:00Z</dcterms:modified>
</cp:coreProperties>
</file>