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4095" w:rsidP="006D40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HLTAWOR004 Provide support to address social and cultural determinants of client and community health</w:t>
      </w:r>
      <w:r>
        <w:fldChar w:fldCharType="end"/>
      </w:r>
    </w:p>
    <w:p w:rsidR="006D4095" w:rsidP="006D4095">
      <w:pPr>
        <w:pStyle w:val="Version"/>
        <w:sectPr w:rsidSect="00E046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605" w:rsidP="00E04605">
      <w:pPr>
        <w:pStyle w:val="SuperHeading"/>
      </w:pPr>
      <w:r w:rsidRPr="00E04605">
        <w:t>Assessment Requirements for HLTAWOR004 Provide support to address social and cultural determinants of client and community health</w:t>
      </w:r>
    </w:p>
    <w:p w:rsidR="00000000" w:rsidRPr="00E04605" w:rsidP="00E04605">
      <w:pPr>
        <w:pStyle w:val="Heading1"/>
      </w:pPr>
      <w:bookmarkStart w:id="1" w:name="O_1279401"/>
      <w:bookmarkEnd w:id="1"/>
      <w:r w:rsidRPr="00E04605">
        <w:t>Modification History</w:t>
      </w:r>
    </w:p>
    <w:p w:rsidR="00000000" w:rsidRPr="00E04605" w:rsidP="006D4095">
      <w:pPr>
        <w:pStyle w:val="BodyText"/>
      </w:pPr>
      <w:r w:rsidRPr="00E04605">
        <w:t>Not applicable.</w:t>
      </w:r>
    </w:p>
    <w:p w:rsidR="00000000" w:rsidRPr="00E04605" w:rsidP="00E04605">
      <w:pPr>
        <w:pStyle w:val="Heading1"/>
      </w:pPr>
      <w:bookmarkStart w:id="2" w:name="O_1279404"/>
      <w:bookmarkEnd w:id="2"/>
      <w:r w:rsidRPr="00E04605">
        <w:t>Performance Evidence</w:t>
      </w:r>
    </w:p>
    <w:p w:rsidR="00000000" w:rsidRPr="00E04605" w:rsidP="006D4095">
      <w:pPr>
        <w:pStyle w:val="BodyText"/>
      </w:pPr>
      <w:r w:rsidRPr="00E04605">
        <w:t>Evidence of the ability to complete tasks outlined in elements and performance criteria of this unit in the context of the job role, and:</w:t>
      </w:r>
    </w:p>
    <w:p w:rsidR="00000000" w:rsidRPr="00E04605" w:rsidP="00E04605">
      <w:pPr>
        <w:pStyle w:val="ListBullet"/>
      </w:pPr>
      <w:r w:rsidRPr="00E04605">
        <w:t>collect information on the social and cultural determinants of Aboriginal and/or Torres Strait Islander health from t</w:t>
      </w:r>
      <w:r w:rsidRPr="00E04605">
        <w:t>hree credible sources and evaluate relevance to the local state, territory or local community</w:t>
      </w:r>
    </w:p>
    <w:p w:rsidR="00000000" w:rsidRPr="00E04605" w:rsidP="00E04605">
      <w:pPr>
        <w:pStyle w:val="ListBullet"/>
      </w:pPr>
      <w:r w:rsidRPr="00E04605">
        <w:t>promote awareness of determinants during one interaction with each of the following:</w:t>
      </w:r>
    </w:p>
    <w:p w:rsidR="00000000" w:rsidRPr="00E04605" w:rsidP="00E04605">
      <w:pPr>
        <w:pStyle w:val="ListBullet2"/>
      </w:pPr>
      <w:r w:rsidRPr="00E04605">
        <w:t>an individual client or family</w:t>
      </w:r>
    </w:p>
    <w:p w:rsidR="00000000" w:rsidRPr="00E04605" w:rsidP="00E04605">
      <w:pPr>
        <w:pStyle w:val="ListBullet2"/>
      </w:pPr>
      <w:r w:rsidRPr="00E04605">
        <w:t>community representatives</w:t>
      </w:r>
    </w:p>
    <w:p w:rsidR="00000000" w:rsidRPr="00E04605" w:rsidP="00E04605">
      <w:pPr>
        <w:pStyle w:val="ListBullet2"/>
      </w:pPr>
      <w:r w:rsidRPr="00E04605">
        <w:t>external health ser</w:t>
      </w:r>
      <w:r w:rsidRPr="00E04605">
        <w:t>vice or social support providers</w:t>
      </w:r>
    </w:p>
    <w:p w:rsidR="00000000" w:rsidRPr="00E04605" w:rsidP="00E04605">
      <w:pPr>
        <w:pStyle w:val="ListBullet"/>
      </w:pPr>
      <w:r w:rsidRPr="00E04605">
        <w:t>consult with three different Aboriginal and/or Torres Strait Islander clients or families to identify underlying social and cultural factors influencing their health</w:t>
      </w:r>
    </w:p>
    <w:p w:rsidR="00000000" w:rsidRPr="00E04605" w:rsidP="00E04605">
      <w:pPr>
        <w:pStyle w:val="ListBullet"/>
      </w:pPr>
      <w:r w:rsidRPr="00E04605">
        <w:t>for each client or family, source information from two n</w:t>
      </w:r>
      <w:r w:rsidRPr="00E04605">
        <w:t>on-health related social support service providers to meet their individual needs and:</w:t>
      </w:r>
    </w:p>
    <w:p w:rsidR="00000000" w:rsidRPr="00E04605" w:rsidP="00E04605">
      <w:pPr>
        <w:pStyle w:val="ListBullet2"/>
      </w:pPr>
      <w:r w:rsidRPr="00E04605">
        <w:t>provide information resources and explain to client</w:t>
      </w:r>
    </w:p>
    <w:p w:rsidR="00000000" w:rsidRPr="00E04605" w:rsidP="00E04605">
      <w:pPr>
        <w:pStyle w:val="ListBullet2"/>
      </w:pPr>
      <w:r w:rsidRPr="00E04605">
        <w:t>advise on the services and assist client to access.</w:t>
      </w:r>
    </w:p>
    <w:p w:rsidR="00000000" w:rsidRPr="00E04605" w:rsidP="00E04605">
      <w:pPr>
        <w:pStyle w:val="AllowPageBreak"/>
      </w:pPr>
    </w:p>
    <w:p w:rsidR="00000000" w:rsidRPr="00E04605" w:rsidP="00E04605">
      <w:pPr>
        <w:pStyle w:val="Heading1"/>
      </w:pPr>
      <w:bookmarkStart w:id="3" w:name="O_1279403"/>
      <w:bookmarkEnd w:id="3"/>
      <w:r w:rsidRPr="00E04605">
        <w:t>Knowledge Evidence</w:t>
      </w:r>
    </w:p>
    <w:p w:rsidR="00000000" w:rsidRPr="00E04605" w:rsidP="006D4095">
      <w:pPr>
        <w:pStyle w:val="BodyText"/>
      </w:pPr>
      <w:r w:rsidRPr="00E04605">
        <w:t>Demonstrated knowledge required to complete the tasks outlined in elements and performance criteria of this unit:</w:t>
      </w:r>
    </w:p>
    <w:p w:rsidR="00000000" w:rsidRPr="00E04605" w:rsidP="00E04605">
      <w:pPr>
        <w:pStyle w:val="ListBullet"/>
      </w:pPr>
      <w:r w:rsidRPr="00E04605">
        <w:t>World Health Organization definition of social determinants of health</w:t>
      </w:r>
    </w:p>
    <w:p w:rsidR="00000000" w:rsidRPr="00E04605" w:rsidP="00E04605">
      <w:pPr>
        <w:pStyle w:val="ListBullet"/>
      </w:pPr>
      <w:r w:rsidRPr="00E04605">
        <w:t>key aspects of social determinants of health and how conditions for the</w:t>
      </w:r>
      <w:r w:rsidRPr="00E04605">
        <w:t xml:space="preserve"> following influence health outcomes for Aboriginal and/or Torres Strait Islander people nationally, and at a state or territory and local community level:</w:t>
      </w:r>
    </w:p>
    <w:p w:rsidR="00000000" w:rsidRPr="00E04605" w:rsidP="00E04605">
      <w:pPr>
        <w:pStyle w:val="ListBullet2"/>
      </w:pPr>
      <w:r w:rsidRPr="00E04605">
        <w:t>early childhood development</w:t>
      </w:r>
    </w:p>
    <w:p w:rsidR="00000000" w:rsidRPr="00E04605" w:rsidP="00E04605">
      <w:pPr>
        <w:pStyle w:val="ListBullet2"/>
      </w:pPr>
      <w:r w:rsidRPr="00E04605">
        <w:t>education and literacy</w:t>
      </w:r>
    </w:p>
    <w:p w:rsidR="00000000" w:rsidRPr="00E04605" w:rsidP="00E04605">
      <w:pPr>
        <w:pStyle w:val="ListBullet2"/>
      </w:pPr>
      <w:r w:rsidRPr="00E04605">
        <w:t>employment, income and working conditions</w:t>
      </w:r>
    </w:p>
    <w:p w:rsidR="00000000" w:rsidRPr="00E04605" w:rsidP="00E04605">
      <w:pPr>
        <w:pStyle w:val="ListBullet2"/>
      </w:pPr>
      <w:r w:rsidRPr="00E04605">
        <w:t>enviro</w:t>
      </w:r>
      <w:r w:rsidRPr="00E04605">
        <w:t>nment, housing, services and utilities</w:t>
      </w:r>
    </w:p>
    <w:p w:rsidR="00000000" w:rsidRPr="00E04605" w:rsidP="00E04605">
      <w:pPr>
        <w:pStyle w:val="ListBullet2"/>
      </w:pPr>
      <w:r w:rsidRPr="00E04605">
        <w:t>food security and affordability</w:t>
      </w:r>
    </w:p>
    <w:p w:rsidR="00000000" w:rsidRPr="00E04605" w:rsidP="00E04605">
      <w:pPr>
        <w:pStyle w:val="ListBullet2"/>
      </w:pPr>
      <w:r w:rsidRPr="00E04605">
        <w:t>social support</w:t>
      </w:r>
    </w:p>
    <w:p w:rsidR="00000000" w:rsidRPr="00E04605" w:rsidP="00E04605">
      <w:pPr>
        <w:pStyle w:val="ListBullet2"/>
      </w:pPr>
      <w:r w:rsidRPr="00E04605">
        <w:t>access to health services</w:t>
      </w:r>
    </w:p>
    <w:p w:rsidR="00000000" w:rsidRPr="00E04605" w:rsidP="00E04605">
      <w:pPr>
        <w:pStyle w:val="ListBullet2"/>
      </w:pPr>
      <w:r w:rsidRPr="00E04605">
        <w:t>systematic racism</w:t>
      </w:r>
    </w:p>
    <w:p w:rsidR="00000000" w:rsidRPr="00E04605" w:rsidP="00E04605">
      <w:pPr>
        <w:pStyle w:val="ListBullet2"/>
      </w:pPr>
      <w:r w:rsidRPr="00E04605">
        <w:t>historical issues:</w:t>
      </w:r>
    </w:p>
    <w:p w:rsidR="00000000" w:rsidRPr="00E04605" w:rsidP="00E04605">
      <w:pPr>
        <w:pStyle w:val="ListBullet3"/>
      </w:pPr>
      <w:r w:rsidRPr="00E04605">
        <w:t>colonisation, historical government policies and lack of self-determination</w:t>
      </w:r>
    </w:p>
    <w:p w:rsidR="00000000" w:rsidRPr="00E04605" w:rsidP="00E04605">
      <w:pPr>
        <w:pStyle w:val="ListBullet3"/>
      </w:pPr>
      <w:r w:rsidRPr="00E04605">
        <w:t>intergenerational trauma</w:t>
      </w:r>
    </w:p>
    <w:p w:rsidR="00000000" w:rsidRPr="00E04605" w:rsidP="00E04605">
      <w:pPr>
        <w:pStyle w:val="ListBullet"/>
      </w:pPr>
      <w:r w:rsidRPr="00E04605">
        <w:t>key aspects of cultural determinants of health and how the following influence health outcomes for Aboriginal and/or Torres Strait Islander people:</w:t>
      </w:r>
    </w:p>
    <w:p w:rsidR="00000000" w:rsidRPr="00E04605" w:rsidP="00E04605">
      <w:pPr>
        <w:pStyle w:val="ListBullet2"/>
      </w:pPr>
      <w:r w:rsidRPr="00E04605">
        <w:t>traditional cultural practices and lifestyle</w:t>
      </w:r>
    </w:p>
    <w:p w:rsidR="00000000" w:rsidRPr="00E04605" w:rsidP="00E04605">
      <w:pPr>
        <w:pStyle w:val="ListBullet2"/>
      </w:pPr>
      <w:r w:rsidRPr="00E04605">
        <w:t>spiritual and cultural connections to country</w:t>
      </w:r>
    </w:p>
    <w:p w:rsidR="00000000" w:rsidRPr="00E04605" w:rsidP="00E04605">
      <w:pPr>
        <w:pStyle w:val="ListBullet2"/>
      </w:pPr>
      <w:r w:rsidRPr="00E04605">
        <w:t xml:space="preserve">cultural values </w:t>
      </w:r>
      <w:r w:rsidRPr="00E04605">
        <w:t>and beliefs, particularly holistic view of health</w:t>
      </w:r>
    </w:p>
    <w:p w:rsidR="00000000" w:rsidRPr="00E04605" w:rsidP="00E04605">
      <w:pPr>
        <w:pStyle w:val="ListBullet2"/>
      </w:pPr>
      <w:r w:rsidRPr="00E04605">
        <w:t>preferences for western medicine or traditional/cultural healing including the use of bush medicines and traditional healers</w:t>
      </w:r>
    </w:p>
    <w:p w:rsidR="00000000" w:rsidRPr="00E04605" w:rsidP="00E04605">
      <w:pPr>
        <w:pStyle w:val="ListBullet"/>
      </w:pPr>
      <w:r w:rsidRPr="00E04605">
        <w:t>difference between addressing risk factors for illness and lifestyle modification, and addressing underlying social causes of ill-health</w:t>
      </w:r>
    </w:p>
    <w:p w:rsidR="00000000" w:rsidRPr="00E04605" w:rsidP="00E04605">
      <w:pPr>
        <w:pStyle w:val="ListBullet"/>
      </w:pPr>
      <w:r w:rsidRPr="00E04605">
        <w:t>overview knowledge of social and cultural support services available in the community, state or territory:</w:t>
      </w:r>
    </w:p>
    <w:p w:rsidR="00000000" w:rsidRPr="00E04605" w:rsidP="00E04605">
      <w:pPr>
        <w:pStyle w:val="ListBullet2"/>
      </w:pPr>
      <w:r w:rsidRPr="00E04605">
        <w:t>housing ser</w:t>
      </w:r>
      <w:r w:rsidRPr="00E04605">
        <w:t>vices</w:t>
      </w:r>
    </w:p>
    <w:p w:rsidR="00000000" w:rsidRPr="00E04605" w:rsidP="00E04605">
      <w:pPr>
        <w:pStyle w:val="ListBullet2"/>
      </w:pPr>
      <w:r w:rsidRPr="00E04605">
        <w:t>education services</w:t>
      </w:r>
    </w:p>
    <w:p w:rsidR="00000000" w:rsidRPr="00E04605" w:rsidP="00E04605">
      <w:pPr>
        <w:pStyle w:val="ListBullet2"/>
      </w:pPr>
      <w:r w:rsidRPr="00E04605">
        <w:t>employment services</w:t>
      </w:r>
    </w:p>
    <w:p w:rsidR="00000000" w:rsidRPr="00E04605" w:rsidP="00E04605">
      <w:pPr>
        <w:pStyle w:val="ListBullet2"/>
      </w:pPr>
      <w:r w:rsidRPr="00E04605">
        <w:t>legal services</w:t>
      </w:r>
    </w:p>
    <w:p w:rsidR="00000000" w:rsidRPr="00E04605" w:rsidP="00E04605">
      <w:pPr>
        <w:pStyle w:val="ListBullet2"/>
      </w:pPr>
      <w:r w:rsidRPr="00E04605">
        <w:t>advocacy organisations</w:t>
      </w:r>
    </w:p>
    <w:p w:rsidR="00000000" w:rsidRPr="00E04605" w:rsidP="00E04605">
      <w:pPr>
        <w:pStyle w:val="ListBullet2"/>
      </w:pPr>
      <w:r w:rsidRPr="00E04605">
        <w:t>foodbanks</w:t>
      </w:r>
    </w:p>
    <w:p w:rsidR="00000000" w:rsidRPr="00E04605" w:rsidP="00E04605">
      <w:pPr>
        <w:pStyle w:val="ListBullet2"/>
      </w:pPr>
      <w:r w:rsidRPr="00E04605">
        <w:t>domestic violence services and emergency shelters</w:t>
      </w:r>
    </w:p>
    <w:p w:rsidR="00000000" w:rsidRPr="00E04605" w:rsidP="00E04605">
      <w:pPr>
        <w:pStyle w:val="ListBullet2"/>
      </w:pPr>
      <w:r w:rsidRPr="00E04605">
        <w:t>groups for different genders and the lesbian, gay, bisexual, transgender; queer or questioning and intersex (LGBT</w:t>
      </w:r>
      <w:r w:rsidRPr="00E04605">
        <w:t>QI) community</w:t>
      </w:r>
    </w:p>
    <w:p w:rsidR="00000000" w:rsidRPr="00E04605" w:rsidP="00E04605">
      <w:pPr>
        <w:pStyle w:val="ListBullet2"/>
      </w:pPr>
      <w:r w:rsidRPr="00E04605">
        <w:t>Centrelink benefits</w:t>
      </w:r>
    </w:p>
    <w:p w:rsidR="00000000" w:rsidRPr="00E04605" w:rsidP="00E04605">
      <w:pPr>
        <w:pStyle w:val="ListBullet2"/>
      </w:pPr>
      <w:r w:rsidRPr="00E04605">
        <w:t>facilities, services and groups that provide connection to Aboriginal and/or Torres Strait Islander culture</w:t>
      </w:r>
    </w:p>
    <w:p w:rsidR="00000000" w:rsidRPr="00E04605" w:rsidP="00E04605">
      <w:pPr>
        <w:pStyle w:val="ListBullet"/>
      </w:pPr>
      <w:r w:rsidRPr="00E04605">
        <w:t>barriers for local Aboriginal and/or Torres Strait Islander people that impact access to health, social and cultu</w:t>
      </w:r>
      <w:r w:rsidRPr="00E04605">
        <w:t>ral support services</w:t>
      </w:r>
    </w:p>
    <w:p w:rsidR="00000000" w:rsidRPr="00E04605" w:rsidP="00E04605">
      <w:pPr>
        <w:pStyle w:val="ListBullet"/>
      </w:pPr>
      <w:r w:rsidRPr="00E04605">
        <w:t>practices that health services can implement to provide better access to health services:</w:t>
      </w:r>
    </w:p>
    <w:p w:rsidR="00000000" w:rsidRPr="00E04605" w:rsidP="00E04605">
      <w:pPr>
        <w:pStyle w:val="ListBullet2"/>
      </w:pPr>
      <w:r w:rsidRPr="00E04605">
        <w:t>documenting language preferences of clients, identifying language skills of staff and providing interpreter services</w:t>
      </w:r>
    </w:p>
    <w:p w:rsidR="00000000" w:rsidRPr="00E04605" w:rsidP="00E04605">
      <w:pPr>
        <w:pStyle w:val="ListBullet2"/>
      </w:pPr>
      <w:r w:rsidRPr="00E04605">
        <w:t>extending clinic hours and locating clinics close to where people live and work</w:t>
      </w:r>
    </w:p>
    <w:p w:rsidR="00000000" w:rsidRPr="00E04605" w:rsidP="00E04605">
      <w:pPr>
        <w:pStyle w:val="ListBullet2"/>
      </w:pPr>
      <w:r w:rsidRPr="00E04605">
        <w:t>providing transport to attend appointments and health promotion activities</w:t>
      </w:r>
    </w:p>
    <w:p w:rsidR="00000000" w:rsidRPr="00E04605" w:rsidP="00E04605">
      <w:pPr>
        <w:pStyle w:val="ListBullet2"/>
      </w:pPr>
      <w:r w:rsidRPr="00E04605">
        <w:t>providing home visits, and regular clinics in remote community locations</w:t>
      </w:r>
    </w:p>
    <w:p w:rsidR="00000000" w:rsidRPr="00E04605" w:rsidP="00E04605">
      <w:pPr>
        <w:pStyle w:val="ListBullet2"/>
      </w:pPr>
      <w:r w:rsidRPr="00E04605">
        <w:t>supporting clients to access</w:t>
      </w:r>
      <w:r w:rsidRPr="00E04605">
        <w:t xml:space="preserve"> external health service providers</w:t>
      </w:r>
    </w:p>
    <w:p w:rsidR="00000000" w:rsidRPr="00E04605" w:rsidP="00E04605">
      <w:pPr>
        <w:pStyle w:val="ListBullet2"/>
      </w:pPr>
      <w:r w:rsidRPr="00E04605">
        <w:t>advocating on behalf of individuals and communities</w:t>
      </w:r>
    </w:p>
    <w:p w:rsidR="00000000" w:rsidRPr="00E04605" w:rsidP="00E04605">
      <w:pPr>
        <w:pStyle w:val="ListBullet"/>
      </w:pPr>
      <w:r w:rsidRPr="00E04605">
        <w:t>community protocols for obtaining permission to share community information</w:t>
      </w:r>
    </w:p>
    <w:p w:rsidR="00000000" w:rsidRPr="00E04605" w:rsidP="00E04605">
      <w:pPr>
        <w:pStyle w:val="ListBullet"/>
      </w:pPr>
      <w:r w:rsidRPr="00E04605">
        <w:t>techniques used to communicate on highly sensitive issues</w:t>
      </w:r>
    </w:p>
    <w:p w:rsidR="00000000" w:rsidRPr="00E04605" w:rsidP="00E04605">
      <w:pPr>
        <w:pStyle w:val="ListBullet"/>
      </w:pPr>
      <w:r w:rsidRPr="00E04605">
        <w:t>ethical, legal and cultural obliga</w:t>
      </w:r>
      <w:r w:rsidRPr="00E04605">
        <w:t>tions to protect the privacy of client and community information, and the contents of organisational policies and procedures for maintaining confidentiality.</w:t>
      </w:r>
    </w:p>
    <w:p w:rsidR="00000000" w:rsidRPr="00E04605" w:rsidP="00E04605">
      <w:pPr>
        <w:pStyle w:val="AllowPageBreak"/>
      </w:pPr>
    </w:p>
    <w:p w:rsidR="00000000" w:rsidRPr="00E04605" w:rsidP="00E04605">
      <w:pPr>
        <w:pStyle w:val="Heading1"/>
      </w:pPr>
      <w:bookmarkStart w:id="4" w:name="O_1279402"/>
      <w:bookmarkEnd w:id="4"/>
      <w:r w:rsidRPr="00E04605">
        <w:t>Assessment Conditions</w:t>
      </w:r>
    </w:p>
    <w:p w:rsidR="00000000" w:rsidRPr="00E04605" w:rsidP="006D4095">
      <w:pPr>
        <w:pStyle w:val="BodyText"/>
      </w:pPr>
      <w:r w:rsidRPr="00E04605">
        <w:t>Skills must be demonstrated in a health service workplace</w:t>
      </w:r>
      <w:r w:rsidRPr="00E04605">
        <w:t xml:space="preserve"> within a multidisciplinary primary health care team.</w:t>
      </w:r>
    </w:p>
    <w:p w:rsidR="00000000" w:rsidRPr="00E04605" w:rsidP="006D4095">
      <w:pPr>
        <w:pStyle w:val="BodyText"/>
      </w:pPr>
      <w:r w:rsidRPr="00E04605">
        <w:t>Evidence of performance must be gathered:</w:t>
      </w:r>
    </w:p>
    <w:p w:rsidR="00000000" w:rsidRPr="00E04605" w:rsidP="00E04605">
      <w:pPr>
        <w:pStyle w:val="ListBullet"/>
      </w:pPr>
      <w:r w:rsidRPr="00E04605">
        <w:t>during on-the-job assessments in the workplace under live conditions while interacting with Aboriginal and/or Torres Strait Islander clients and community repr</w:t>
      </w:r>
      <w:r w:rsidRPr="00E04605">
        <w:t>esentatives, or</w:t>
      </w:r>
    </w:p>
    <w:p w:rsidR="00000000" w:rsidRPr="00E04605" w:rsidP="00E04605">
      <w:pPr>
        <w:pStyle w:val="ListBullet"/>
      </w:pPr>
      <w:r w:rsidRPr="00E04605">
        <w:t>during off-the-job assessments in the workplace, not under live conditions, using simulated activities while interacting with Aboriginal and/or Torres Strait Islander clients and community representatives.</w:t>
      </w:r>
    </w:p>
    <w:p w:rsidR="00000000" w:rsidRPr="00E04605" w:rsidP="006D4095">
      <w:pPr>
        <w:pStyle w:val="BodyText"/>
      </w:pPr>
      <w:r w:rsidRPr="00E04605">
        <w:t>Evidence of workplace performance can be gathered and reported through third party report processes. (Refer to the Companion Volume Implementation Guide for information on third party reporting.)</w:t>
      </w:r>
    </w:p>
    <w:p w:rsidR="00000000" w:rsidRPr="00E04605" w:rsidP="006D4095">
      <w:pPr>
        <w:pStyle w:val="BodyText"/>
      </w:pPr>
      <w:r w:rsidRPr="00E04605">
        <w:t>Evidence can be supplemented by assessments in a simulated w</w:t>
      </w:r>
      <w:r w:rsidRPr="00E04605">
        <w:t>orkplace environment using simulated activities, scenarios or case studies only when:</w:t>
      </w:r>
    </w:p>
    <w:p w:rsidR="00000000" w:rsidRPr="00E04605" w:rsidP="00E04605">
      <w:pPr>
        <w:pStyle w:val="ListBullet"/>
      </w:pPr>
      <w:r w:rsidRPr="00E04605">
        <w:t>the full range of situations covered by the unit cannot be provided in the individual’s workplace, or</w:t>
      </w:r>
    </w:p>
    <w:p w:rsidR="00000000" w:rsidRPr="00E04605" w:rsidP="00E04605">
      <w:pPr>
        <w:pStyle w:val="ListBullet"/>
      </w:pPr>
      <w:r w:rsidRPr="00E04605">
        <w:t>situations covered by the unit occur only rarely in the individual’</w:t>
      </w:r>
      <w:r w:rsidRPr="00E04605">
        <w:t>s workplace.</w:t>
      </w:r>
    </w:p>
    <w:p w:rsidR="00000000" w:rsidRPr="00E04605" w:rsidP="006D4095">
      <w:pPr>
        <w:pStyle w:val="BodyText"/>
      </w:pPr>
      <w:r w:rsidRPr="00E04605">
        <w:t>Assessment must ensure the use of:</w:t>
      </w:r>
    </w:p>
    <w:p w:rsidR="00000000" w:rsidRPr="00E04605" w:rsidP="00E04605">
      <w:pPr>
        <w:pStyle w:val="ListBullet"/>
      </w:pPr>
      <w:r w:rsidRPr="00E04605">
        <w:t>interaction with external health and social support service providers either through actual work activities or simulations</w:t>
      </w:r>
    </w:p>
    <w:p w:rsidR="00000000" w:rsidRPr="00E04605" w:rsidP="00E04605">
      <w:pPr>
        <w:pStyle w:val="ListBullet"/>
      </w:pPr>
      <w:r w:rsidRPr="00E04605">
        <w:t>information resources from social support service providers</w:t>
      </w:r>
    </w:p>
    <w:p w:rsidR="00000000" w:rsidRPr="00E04605" w:rsidP="00E04605">
      <w:pPr>
        <w:pStyle w:val="ListBullet"/>
      </w:pPr>
      <w:r w:rsidRPr="00E04605">
        <w:t>resources from facilitie</w:t>
      </w:r>
      <w:r w:rsidRPr="00E04605">
        <w:t>s, services and groups that provide connection to Aboriginal and/or Torres Strait Islander culture</w:t>
      </w:r>
    </w:p>
    <w:p w:rsidR="00000000" w:rsidRPr="00E04605" w:rsidP="00E04605">
      <w:pPr>
        <w:pStyle w:val="ListBullet"/>
      </w:pPr>
      <w:r w:rsidRPr="00E04605">
        <w:t>organisational policies and procedures for maintaining confidentiality of individual and community information.</w:t>
      </w:r>
    </w:p>
    <w:p w:rsidR="00000000" w:rsidRPr="00E04605" w:rsidP="006D4095">
      <w:pPr>
        <w:pStyle w:val="BodyText"/>
      </w:pPr>
      <w:r w:rsidRPr="00E04605">
        <w:t>Assessors must satisfy the Standards for Regi</w:t>
      </w:r>
      <w:r w:rsidRPr="00E04605">
        <w:t>stered Training Organisations requirements for assessors, and:</w:t>
      </w:r>
    </w:p>
    <w:p w:rsidR="00000000" w:rsidRPr="00E04605" w:rsidP="00E04605">
      <w:pPr>
        <w:pStyle w:val="ListBullet"/>
      </w:pPr>
      <w:r w:rsidRPr="00E04605">
        <w:t>be an Aboriginal and/or Torres Strait Islander person who has applied the skills and knowledge covered in this unit of competency through experience working as an Aboriginal and/or Torres Stra</w:t>
      </w:r>
      <w:r w:rsidRPr="00E04605">
        <w:t>it Islander health worker or practitioner, or</w:t>
      </w:r>
    </w:p>
    <w:p w:rsidR="00000000" w:rsidRPr="00E04605" w:rsidP="00E04605">
      <w:pPr>
        <w:pStyle w:val="ListBullet"/>
      </w:pPr>
      <w:r w:rsidRPr="00E04605">
        <w:t xml:space="preserve">be a registered health practitioner or a community service worker with experience relevant to this unit of competency and be accompanied by, or have assessments validated by, an Aboriginal and/or Torres Strait </w:t>
      </w:r>
      <w:r w:rsidRPr="00E04605">
        <w:t>Islander person.</w:t>
      </w:r>
    </w:p>
    <w:p w:rsidR="00000000" w:rsidRPr="00E04605" w:rsidP="00E04605">
      <w:pPr>
        <w:pStyle w:val="AllowPageBreak"/>
      </w:pPr>
    </w:p>
    <w:p w:rsidR="00000000" w:rsidRPr="00E04605" w:rsidP="00E04605">
      <w:pPr>
        <w:pStyle w:val="Heading1"/>
      </w:pPr>
      <w:bookmarkStart w:id="5" w:name="O_1279400"/>
      <w:bookmarkEnd w:id="5"/>
      <w:r w:rsidRPr="00E04605">
        <w:t>Links</w:t>
      </w:r>
    </w:p>
    <w:p w:rsidR="00000000" w:rsidRPr="00E04605" w:rsidP="006D4095">
      <w:pPr>
        <w:pStyle w:val="BodyText"/>
      </w:pPr>
      <w:r w:rsidRPr="00E046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B651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04605" w:rsidP="00E04605"/>
    <w:sectPr w:rsidSect="00E046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05" w:rsidRPr="006D4095" w:rsidP="006D40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095" w:rsidP="00E046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4095" w:rsidP="00E046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D4095" w:rsidP="00E046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0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605" w:rsidRPr="006D4095" w:rsidP="006D40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095" w:rsidRPr="002D2AF8" w:rsidP="00E046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HLTAWOR004 Provide support to address social and cultural determinants of client and community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D4095" w:rsidP="00E046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6850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B222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7A45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6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6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6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6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6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6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6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6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6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6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6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605"/>
  </w:style>
  <w:style w:type="character" w:customStyle="1" w:styleId="Heading1Char">
    <w:name w:val="Heading 1 Char"/>
    <w:basedOn w:val="DefaultParagraphFont"/>
    <w:link w:val="Heading1"/>
    <w:rsid w:val="00E046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6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6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460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460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46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6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0460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046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6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6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6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6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6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6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6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6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6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6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6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6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6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6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46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4605"/>
    <w:rPr>
      <w:b/>
      <w:spacing w:val="0"/>
    </w:rPr>
  </w:style>
  <w:style w:type="paragraph" w:customStyle="1" w:styleId="SuperTitle">
    <w:name w:val="SuperTitle"/>
    <w:basedOn w:val="Title"/>
    <w:rsid w:val="00E046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6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6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46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6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6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6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6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6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6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6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6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605"/>
    <w:rPr>
      <w:i/>
    </w:rPr>
  </w:style>
  <w:style w:type="paragraph" w:styleId="Caption">
    <w:name w:val="caption"/>
    <w:basedOn w:val="BodyText"/>
    <w:next w:val="Normal"/>
    <w:qFormat/>
    <w:rsid w:val="00E046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6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6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605"/>
  </w:style>
  <w:style w:type="paragraph" w:styleId="TableofFigures">
    <w:name w:val="table of figures"/>
    <w:basedOn w:val="Normal"/>
    <w:next w:val="Normal"/>
    <w:semiHidden/>
    <w:rsid w:val="00E046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60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04605"/>
    <w:rPr>
      <w:rFonts w:ascii="Wingdings" w:hAnsi="Wingdings"/>
    </w:rPr>
  </w:style>
  <w:style w:type="paragraph" w:customStyle="1" w:styleId="TableHeading">
    <w:name w:val="Table Heading"/>
    <w:basedOn w:val="HeadingBase"/>
    <w:rsid w:val="00E046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605"/>
    <w:rPr>
      <w:color w:val="0033CC"/>
      <w:u w:val="none"/>
    </w:rPr>
  </w:style>
  <w:style w:type="paragraph" w:customStyle="1" w:styleId="BodyTextRight">
    <w:name w:val="Body Text Right"/>
    <w:basedOn w:val="BodyText"/>
    <w:rsid w:val="00E046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6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60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6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6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6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605"/>
    <w:rPr>
      <w:sz w:val="32"/>
    </w:rPr>
  </w:style>
  <w:style w:type="paragraph" w:customStyle="1" w:styleId="HeadingProcedure">
    <w:name w:val="Heading Procedure"/>
    <w:basedOn w:val="HeadingBase"/>
    <w:next w:val="Normal"/>
    <w:rsid w:val="00E046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605"/>
    <w:pPr>
      <w:spacing w:before="60" w:after="60"/>
    </w:pPr>
  </w:style>
  <w:style w:type="paragraph" w:styleId="ListContinue">
    <w:name w:val="List Continue"/>
    <w:basedOn w:val="List"/>
    <w:rsid w:val="00E04605"/>
    <w:pPr>
      <w:ind w:firstLine="0"/>
    </w:pPr>
  </w:style>
  <w:style w:type="paragraph" w:customStyle="1" w:styleId="ListNote">
    <w:name w:val="List Note"/>
    <w:basedOn w:val="List"/>
    <w:rsid w:val="00E046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6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6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605"/>
    <w:rPr>
      <w:rFonts w:ascii="Courier New" w:hAnsi="Courier New"/>
    </w:rPr>
  </w:style>
  <w:style w:type="paragraph" w:customStyle="1" w:styleId="NoteBullet">
    <w:name w:val="Note Bullet"/>
    <w:basedOn w:val="Note"/>
    <w:rsid w:val="00E046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6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6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6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60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046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6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605"/>
    <w:rPr>
      <w:b/>
      <w:smallCaps/>
    </w:rPr>
  </w:style>
  <w:style w:type="paragraph" w:customStyle="1" w:styleId="TableListNumber">
    <w:name w:val="Table List Number"/>
    <w:basedOn w:val="ListNumber"/>
    <w:rsid w:val="00E046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6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605"/>
    <w:pPr>
      <w:numPr>
        <w:numId w:val="10"/>
      </w:numPr>
    </w:pPr>
  </w:style>
  <w:style w:type="paragraph" w:customStyle="1" w:styleId="ListAlpha2">
    <w:name w:val="List Alpha 2"/>
    <w:basedOn w:val="List2"/>
    <w:rsid w:val="00E04605"/>
    <w:pPr>
      <w:numPr>
        <w:numId w:val="9"/>
      </w:numPr>
    </w:pPr>
  </w:style>
  <w:style w:type="paragraph" w:styleId="List2">
    <w:name w:val="List 2"/>
    <w:basedOn w:val="BodyText"/>
    <w:rsid w:val="00E046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6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6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60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0460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04605"/>
    <w:pPr>
      <w:numPr>
        <w:numId w:val="5"/>
      </w:numPr>
    </w:pPr>
  </w:style>
  <w:style w:type="paragraph" w:styleId="ListContinue2">
    <w:name w:val="List Continue 2"/>
    <w:basedOn w:val="List2"/>
    <w:rsid w:val="00E04605"/>
    <w:pPr>
      <w:ind w:firstLine="0"/>
    </w:pPr>
  </w:style>
  <w:style w:type="paragraph" w:styleId="ListContinue3">
    <w:name w:val="List Continue 3"/>
    <w:basedOn w:val="List3"/>
    <w:rsid w:val="00E04605"/>
    <w:pPr>
      <w:ind w:left="1021" w:firstLine="0"/>
    </w:pPr>
  </w:style>
  <w:style w:type="paragraph" w:styleId="ListContinue4">
    <w:name w:val="List Continue 4"/>
    <w:basedOn w:val="List4"/>
    <w:rsid w:val="00E04605"/>
    <w:pPr>
      <w:ind w:firstLine="0"/>
    </w:pPr>
  </w:style>
  <w:style w:type="paragraph" w:styleId="ListContinue5">
    <w:name w:val="List Continue 5"/>
    <w:basedOn w:val="List5"/>
    <w:rsid w:val="00E04605"/>
    <w:pPr>
      <w:ind w:firstLine="0"/>
    </w:pPr>
  </w:style>
  <w:style w:type="paragraph" w:styleId="ListNumber3">
    <w:name w:val="List Number 3"/>
    <w:basedOn w:val="List3"/>
    <w:rsid w:val="00E04605"/>
    <w:pPr>
      <w:numPr>
        <w:numId w:val="6"/>
      </w:numPr>
    </w:pPr>
  </w:style>
  <w:style w:type="paragraph" w:styleId="ListNumber4">
    <w:name w:val="List Number 4"/>
    <w:basedOn w:val="List4"/>
    <w:rsid w:val="00E04605"/>
    <w:pPr>
      <w:numPr>
        <w:numId w:val="7"/>
      </w:numPr>
    </w:pPr>
  </w:style>
  <w:style w:type="paragraph" w:styleId="ListNumber5">
    <w:name w:val="List Number 5"/>
    <w:basedOn w:val="List5"/>
    <w:rsid w:val="00E04605"/>
    <w:pPr>
      <w:numPr>
        <w:numId w:val="8"/>
      </w:numPr>
    </w:pPr>
  </w:style>
  <w:style w:type="paragraph" w:styleId="BlockText">
    <w:name w:val="Block Text"/>
    <w:basedOn w:val="Normal"/>
    <w:rsid w:val="00E046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6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605"/>
    <w:rPr>
      <w:sz w:val="16"/>
      <w:vertAlign w:val="superscript"/>
    </w:rPr>
  </w:style>
  <w:style w:type="character" w:customStyle="1" w:styleId="Symbols">
    <w:name w:val="Symbols"/>
    <w:basedOn w:val="DefaultParagraphFont"/>
    <w:rsid w:val="00E04605"/>
    <w:rPr>
      <w:rFonts w:ascii="Symbol" w:hAnsi="Symbol"/>
    </w:rPr>
  </w:style>
  <w:style w:type="character" w:customStyle="1" w:styleId="MenuOptions">
    <w:name w:val="Menu Options"/>
    <w:basedOn w:val="DefaultParagraphFont"/>
    <w:rsid w:val="00E046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605"/>
    <w:rPr>
      <w:b/>
    </w:rPr>
  </w:style>
  <w:style w:type="character" w:customStyle="1" w:styleId="Underlined">
    <w:name w:val="Underlined"/>
    <w:basedOn w:val="DefaultParagraphFont"/>
    <w:rsid w:val="00E04605"/>
    <w:rPr>
      <w:u w:val="single"/>
    </w:rPr>
  </w:style>
  <w:style w:type="paragraph" w:customStyle="1" w:styleId="TableBodyTextRight">
    <w:name w:val="Table Body Text Right"/>
    <w:basedOn w:val="TableBodyText"/>
    <w:rsid w:val="00E046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605"/>
    <w:rPr>
      <w:sz w:val="18"/>
    </w:rPr>
  </w:style>
  <w:style w:type="paragraph" w:customStyle="1" w:styleId="BodySmallRight">
    <w:name w:val="Body Small Right"/>
    <w:basedOn w:val="BodyTextRight"/>
    <w:rsid w:val="00E04605"/>
    <w:rPr>
      <w:sz w:val="18"/>
      <w:szCs w:val="18"/>
    </w:rPr>
  </w:style>
  <w:style w:type="paragraph" w:customStyle="1" w:styleId="MarginEdition">
    <w:name w:val="Margin Edition"/>
    <w:basedOn w:val="MarginNote"/>
    <w:rsid w:val="00E046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605"/>
    <w:rPr>
      <w:sz w:val="2"/>
      <w:szCs w:val="2"/>
    </w:rPr>
  </w:style>
  <w:style w:type="character" w:customStyle="1" w:styleId="Small">
    <w:name w:val="Small"/>
    <w:basedOn w:val="DefaultParagraphFont"/>
    <w:rsid w:val="00E04605"/>
    <w:rPr>
      <w:sz w:val="16"/>
    </w:rPr>
  </w:style>
  <w:style w:type="paragraph" w:customStyle="1" w:styleId="WideTable">
    <w:name w:val="Wide Table"/>
    <w:basedOn w:val="Normal"/>
    <w:rsid w:val="00E046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605"/>
  </w:style>
  <w:style w:type="paragraph" w:styleId="Quote">
    <w:name w:val="Quote"/>
    <w:basedOn w:val="Heading1"/>
    <w:link w:val="QuoteChar"/>
    <w:qFormat/>
    <w:rsid w:val="00E046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6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605"/>
    <w:pPr>
      <w:pageBreakBefore/>
    </w:pPr>
  </w:style>
  <w:style w:type="paragraph" w:customStyle="1" w:styleId="Border">
    <w:name w:val="Border"/>
    <w:basedOn w:val="Normal"/>
    <w:qFormat/>
    <w:rsid w:val="00E046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6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6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6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6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6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6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6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6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605"/>
    <w:rPr>
      <w:u w:val="single"/>
    </w:rPr>
  </w:style>
  <w:style w:type="character" w:customStyle="1" w:styleId="BoldandItalics">
    <w:name w:val="Bold and Italics"/>
    <w:qFormat/>
    <w:rsid w:val="00E04605"/>
    <w:rPr>
      <w:b/>
      <w:i/>
      <w:u w:val="none"/>
    </w:rPr>
  </w:style>
  <w:style w:type="paragraph" w:styleId="BalloonText">
    <w:name w:val="Balloon Text"/>
    <w:basedOn w:val="Normal"/>
    <w:link w:val="BalloonTextChar"/>
    <w:rsid w:val="00E046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6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6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6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6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6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605"/>
    <w:pPr>
      <w:spacing w:before="0" w:after="0"/>
    </w:pPr>
  </w:style>
  <w:style w:type="paragraph" w:customStyle="1" w:styleId="BodyTextBold">
    <w:name w:val="Body Text Bold"/>
    <w:basedOn w:val="BodyText"/>
    <w:qFormat/>
    <w:rsid w:val="00E04605"/>
    <w:rPr>
      <w:b/>
    </w:rPr>
  </w:style>
  <w:style w:type="character" w:styleId="Hyperlink">
    <w:name w:val="Hyperlink"/>
    <w:basedOn w:val="DefaultParagraphFont"/>
    <w:uiPriority w:val="99"/>
    <w:unhideWhenUsed/>
    <w:rsid w:val="006D40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869</Words>
  <Characters>5720</Characters>
  <Application>Microsoft Office Word</Application>
  <DocSecurity>0</DocSecurity>
  <Lines>127</Lines>
  <Paragraphs>90</Paragraphs>
  <ScaleCrop>false</ScaleCrop>
  <Company>Author-it Software Corporation Ltd.</Company>
  <LinksUpToDate>false</LinksUpToDate>
  <CharactersWithSpaces>6499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HLTAWOR004 Provide support to address social and cultural determinants of client and community health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2023-07-01T03:57:00Z</dcterms:created>
  <dcterms:modified xsi:type="dcterms:W3CDTF">2023-07-01T03:57:00Z</dcterms:modified>
</cp:coreProperties>
</file>