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6908" w:rsidP="004269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HLTAUD001 Assess hearing</w:t>
      </w:r>
      <w:r>
        <w:fldChar w:fldCharType="end"/>
      </w:r>
    </w:p>
    <w:p w:rsidR="00426908" w:rsidP="00426908">
      <w:pPr>
        <w:pStyle w:val="Version"/>
        <w:sectPr w:rsidSect="00EA24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24A0" w:rsidP="00EA24A0">
      <w:pPr>
        <w:pStyle w:val="SuperHeading"/>
      </w:pPr>
      <w:r w:rsidRPr="00EA24A0">
        <w:t>Assessment Requirements for HLTAUD001 Assess hearing</w:t>
      </w:r>
    </w:p>
    <w:p w:rsidR="00000000" w:rsidRPr="00EA24A0" w:rsidP="00EA24A0">
      <w:pPr>
        <w:pStyle w:val="Heading1"/>
      </w:pPr>
      <w:bookmarkStart w:id="1" w:name="O_656064"/>
      <w:bookmarkEnd w:id="1"/>
      <w:r w:rsidRPr="00EA24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EA24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4A0" w:rsidP="00EA24A0">
            <w:pPr>
              <w:pStyle w:val="BodyText"/>
            </w:pPr>
            <w:r w:rsidRPr="00EA24A0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4A0">
            <w:pPr>
              <w:pStyle w:val="BodyText"/>
              <w:rPr>
                <w:lang w:val="en-NZ"/>
              </w:rPr>
            </w:pPr>
            <w:r w:rsidRPr="00EA24A0">
              <w:rPr>
                <w:rStyle w:val="SpecialBold"/>
              </w:rPr>
              <w:t>Comments</w:t>
            </w:r>
          </w:p>
        </w:tc>
      </w:tr>
      <w:tr w:rsidTr="00EA24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4A0">
            <w:pPr>
              <w:pStyle w:val="BodyText"/>
              <w:rPr>
                <w:lang w:val="en-NZ"/>
              </w:rPr>
            </w:pPr>
            <w:r w:rsidRPr="00EA24A0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4A0" w:rsidP="00EA24A0">
            <w:pPr>
              <w:pStyle w:val="BodyText"/>
            </w:pPr>
            <w:r w:rsidRPr="00EA24A0">
              <w:t xml:space="preserve">This version was released in </w:t>
            </w:r>
            <w:r w:rsidRPr="00EA24A0">
              <w:rPr>
                <w:rStyle w:val="Emphasis"/>
              </w:rPr>
              <w:t>HLT Health Training Package release 2.0</w:t>
            </w:r>
            <w:r w:rsidRPr="00EA24A0">
              <w:t xml:space="preserve"> and meets the requirements of the 2012 Standards for Training Packages.</w:t>
            </w:r>
          </w:p>
          <w:p w:rsidR="00000000" w:rsidRPr="00EA24A0" w:rsidP="00EA24A0">
            <w:pPr>
              <w:pStyle w:val="BodyText"/>
            </w:pPr>
            <w:r w:rsidRPr="00EA24A0">
              <w:t>Significant changes to the elements and performance crite</w:t>
            </w:r>
            <w:r w:rsidRPr="00EA24A0">
              <w:t>ria. New evidence requirements for assessment, including volume and frequency requirements. Significant change to knowledge evidence.</w:t>
            </w:r>
          </w:p>
        </w:tc>
      </w:tr>
    </w:tbl>
    <w:p w:rsidR="00426908" w:rsidP="00EA24A0">
      <w:pPr>
        <w:pStyle w:val="BodyText"/>
      </w:pPr>
    </w:p>
    <w:p w:rsidR="00426908" w:rsidP="00EA24A0">
      <w:pPr>
        <w:pStyle w:val="BodyText"/>
      </w:pPr>
    </w:p>
    <w:p w:rsidR="00000000" w:rsidRPr="00EA24A0" w:rsidP="00EA24A0">
      <w:pPr>
        <w:pStyle w:val="Heading1"/>
      </w:pPr>
      <w:bookmarkStart w:id="2" w:name="O_656065"/>
      <w:bookmarkEnd w:id="2"/>
      <w:r w:rsidRPr="00EA24A0">
        <w:t>Performance Evidence</w:t>
      </w:r>
    </w:p>
    <w:p w:rsidR="00000000" w:rsidRPr="00EA24A0" w:rsidP="00426908">
      <w:pPr>
        <w:pStyle w:val="BodyText"/>
      </w:pPr>
      <w:r w:rsidRPr="00EA24A0">
        <w:t>The candidate must show evidence of the ability to complete tasks outlined in ele</w:t>
      </w:r>
      <w:r w:rsidRPr="00EA24A0">
        <w:t>ments and performance criteria of this unit, manage tasks and manage contingencies in the context of the job role. There must be evidence that the candidate has:</w:t>
      </w:r>
    </w:p>
    <w:p w:rsidR="00000000" w:rsidRPr="00EA24A0" w:rsidP="00EA24A0">
      <w:pPr>
        <w:pStyle w:val="ListBullet"/>
      </w:pPr>
      <w:r w:rsidRPr="00EA24A0">
        <w:t>followed established procedures and protocols to independently conduct full hearing assessmen</w:t>
      </w:r>
      <w:r w:rsidRPr="00EA24A0">
        <w:t>ts for at least 20 different adult clients presenting with different hearing capacity, including males and females of diverse age, cultural and linguistic range, and seniors:</w:t>
      </w:r>
    </w:p>
    <w:p w:rsidR="00000000" w:rsidRPr="00EA24A0" w:rsidP="00EA24A0">
      <w:pPr>
        <w:pStyle w:val="ListBullet2"/>
      </w:pPr>
      <w:r w:rsidRPr="00EA24A0">
        <w:t>selected the hearing tests appropriate to client needs</w:t>
      </w:r>
    </w:p>
    <w:p w:rsidR="00000000" w:rsidRPr="00EA24A0" w:rsidP="00EA24A0">
      <w:pPr>
        <w:pStyle w:val="ListBullet2"/>
      </w:pPr>
      <w:r w:rsidRPr="00EA24A0">
        <w:t>accurately tested and recorded pure tone audiometry (AC/BC masking) speech audiometry (performance intensity (PI) function, speech reception threshold (SRT), masking) and impedance audiometry test results (tympanometry, ipsi and contralateral reflexes, ref</w:t>
      </w:r>
      <w:r w:rsidRPr="00EA24A0">
        <w:t>lex decay)</w:t>
      </w:r>
    </w:p>
    <w:p w:rsidR="00000000" w:rsidRPr="00EA24A0" w:rsidP="00EA24A0">
      <w:pPr>
        <w:pStyle w:val="ListBullet2"/>
      </w:pPr>
      <w:r w:rsidRPr="00EA24A0">
        <w:t>integrated and validated results across the test battery</w:t>
      </w:r>
    </w:p>
    <w:p w:rsidR="00000000" w:rsidRPr="00EA24A0" w:rsidP="00EA24A0">
      <w:pPr>
        <w:pStyle w:val="ListBullet2"/>
      </w:pPr>
      <w:r w:rsidRPr="00EA24A0">
        <w:t>determined type of hearing loss from test results</w:t>
      </w:r>
    </w:p>
    <w:p w:rsidR="00000000" w:rsidRPr="00EA24A0" w:rsidP="00EA24A0">
      <w:pPr>
        <w:pStyle w:val="ListBullet2"/>
      </w:pPr>
      <w:r w:rsidRPr="00EA24A0">
        <w:t>recognised and responded appropriately when a client is not giving true thresholds</w:t>
      </w:r>
    </w:p>
    <w:p w:rsidR="00000000" w:rsidRPr="00EA24A0" w:rsidP="00EA24A0">
      <w:pPr>
        <w:pStyle w:val="ListBullet"/>
      </w:pPr>
      <w:r w:rsidRPr="00EA24A0">
        <w:t>communicated effectively with clients using a client c</w:t>
      </w:r>
      <w:r w:rsidRPr="00EA24A0">
        <w:t xml:space="preserve">entred approach </w:t>
      </w:r>
    </w:p>
    <w:p w:rsidR="00000000" w:rsidRPr="00EA24A0" w:rsidP="00EA24A0">
      <w:pPr>
        <w:pStyle w:val="AllowPageBreak"/>
      </w:pPr>
    </w:p>
    <w:p w:rsidR="00000000" w:rsidRPr="00EA24A0" w:rsidP="00EA24A0">
      <w:pPr>
        <w:pStyle w:val="Heading1"/>
      </w:pPr>
      <w:bookmarkStart w:id="3" w:name="O_656066"/>
      <w:bookmarkEnd w:id="3"/>
      <w:r w:rsidRPr="00EA24A0">
        <w:t>Knowledge Evidence</w:t>
      </w:r>
    </w:p>
    <w:p w:rsidR="00000000" w:rsidRPr="00EA24A0" w:rsidP="00426908">
      <w:pPr>
        <w:pStyle w:val="BodyText"/>
      </w:pPr>
      <w:r w:rsidRPr="00EA24A0">
        <w:t>The candidate must be able to demonstrate essential knowledge required to effectively complete tasks outlined in elements and performance criteria of this unit, manage tasks and manage contingencies in t</w:t>
      </w:r>
      <w:r w:rsidRPr="00EA24A0">
        <w:t>he context of the work role. This includes knowledge of:</w:t>
      </w:r>
    </w:p>
    <w:p w:rsidR="00000000" w:rsidRPr="00EA24A0" w:rsidP="00EA24A0">
      <w:pPr>
        <w:pStyle w:val="ListBullet"/>
      </w:pPr>
      <w:r w:rsidRPr="00EA24A0">
        <w:t>legal and ethical considerations (national and state/territory) for conduct of hearing assessments:</w:t>
      </w:r>
    </w:p>
    <w:p w:rsidR="00000000" w:rsidRPr="00EA24A0" w:rsidP="00EA24A0">
      <w:pPr>
        <w:pStyle w:val="ListBullet2"/>
      </w:pPr>
      <w:r w:rsidRPr="00EA24A0">
        <w:t>contractual obligations</w:t>
      </w:r>
    </w:p>
    <w:p w:rsidR="00000000" w:rsidRPr="00EA24A0" w:rsidP="00EA24A0">
      <w:pPr>
        <w:pStyle w:val="ListBullet2"/>
      </w:pPr>
      <w:r w:rsidRPr="00EA24A0">
        <w:t>duty of care</w:t>
      </w:r>
    </w:p>
    <w:p w:rsidR="00000000" w:rsidRPr="00EA24A0" w:rsidP="00EA24A0">
      <w:pPr>
        <w:pStyle w:val="ListBullet2"/>
      </w:pPr>
      <w:r w:rsidRPr="00EA24A0">
        <w:t>informed consent</w:t>
      </w:r>
    </w:p>
    <w:p w:rsidR="00000000" w:rsidRPr="00EA24A0" w:rsidP="00EA24A0">
      <w:pPr>
        <w:pStyle w:val="ListBullet2"/>
      </w:pPr>
      <w:r w:rsidRPr="00EA24A0">
        <w:t>privacy, confidentiality and disclosure</w:t>
      </w:r>
    </w:p>
    <w:p w:rsidR="00000000" w:rsidRPr="00EA24A0" w:rsidP="00EA24A0">
      <w:pPr>
        <w:pStyle w:val="ListBullet2"/>
      </w:pPr>
      <w:r w:rsidRPr="00EA24A0">
        <w:t>records management</w:t>
      </w:r>
    </w:p>
    <w:p w:rsidR="00000000" w:rsidRPr="00EA24A0" w:rsidP="00EA24A0">
      <w:pPr>
        <w:pStyle w:val="ListBullet2"/>
      </w:pPr>
      <w:r w:rsidRPr="00EA24A0">
        <w:t>work role boundaries – responsibilities and limitations:</w:t>
      </w:r>
    </w:p>
    <w:p w:rsidR="00000000" w:rsidRPr="00EA24A0" w:rsidP="00EA24A0">
      <w:pPr>
        <w:pStyle w:val="ListBullet3"/>
      </w:pPr>
      <w:r w:rsidRPr="00EA24A0">
        <w:t>boundaries of audiometrist role</w:t>
      </w:r>
    </w:p>
    <w:p w:rsidR="00000000" w:rsidRPr="00EA24A0" w:rsidP="00EA24A0">
      <w:pPr>
        <w:pStyle w:val="ListBullet3"/>
      </w:pPr>
      <w:r w:rsidRPr="00EA24A0">
        <w:t>generalist and specialist functions</w:t>
      </w:r>
    </w:p>
    <w:p w:rsidR="00000000" w:rsidRPr="00EA24A0" w:rsidP="00EA24A0">
      <w:pPr>
        <w:pStyle w:val="ListBullet3"/>
      </w:pPr>
      <w:r w:rsidRPr="00EA24A0">
        <w:t>relationship between audiometry and other health professionals</w:t>
      </w:r>
    </w:p>
    <w:p w:rsidR="00000000" w:rsidRPr="00EA24A0" w:rsidP="00EA24A0">
      <w:pPr>
        <w:pStyle w:val="ListBullet3"/>
      </w:pPr>
      <w:r w:rsidRPr="00EA24A0">
        <w:t>indicators for referral</w:t>
      </w:r>
    </w:p>
    <w:p w:rsidR="00000000" w:rsidRPr="00EA24A0" w:rsidP="00EA24A0">
      <w:pPr>
        <w:pStyle w:val="ListBullet"/>
      </w:pPr>
      <w:r w:rsidRPr="00EA24A0">
        <w:t>Australian and internat</w:t>
      </w:r>
      <w:r w:rsidRPr="00EA24A0">
        <w:t>ional standards that apply to the conduct of a hearing assessment:</w:t>
      </w:r>
    </w:p>
    <w:p w:rsidR="00000000" w:rsidRPr="00EA24A0" w:rsidP="00EA24A0">
      <w:pPr>
        <w:pStyle w:val="ListBullet2"/>
      </w:pPr>
      <w:r w:rsidRPr="00EA24A0">
        <w:t>maximum ambient noise levels for assessments</w:t>
      </w:r>
    </w:p>
    <w:p w:rsidR="00000000" w:rsidRPr="00EA24A0" w:rsidP="00EA24A0">
      <w:pPr>
        <w:pStyle w:val="ListBullet2"/>
      </w:pPr>
      <w:r w:rsidRPr="00EA24A0">
        <w:t>equipment calibrations</w:t>
      </w:r>
    </w:p>
    <w:p w:rsidR="00000000" w:rsidRPr="00EA24A0" w:rsidP="00EA24A0">
      <w:pPr>
        <w:pStyle w:val="ListBullet"/>
      </w:pPr>
      <w:r w:rsidRPr="00EA24A0">
        <w:t>standard infection control precautions</w:t>
      </w:r>
    </w:p>
    <w:p w:rsidR="00000000" w:rsidRPr="00EA24A0" w:rsidP="00EA24A0">
      <w:pPr>
        <w:pStyle w:val="ListBullet"/>
      </w:pPr>
      <w:r w:rsidRPr="00EA24A0">
        <w:t>anatomy of the ear, including:</w:t>
      </w:r>
    </w:p>
    <w:p w:rsidR="00000000" w:rsidRPr="00EA24A0" w:rsidP="00EA24A0">
      <w:pPr>
        <w:pStyle w:val="ListBullet2"/>
      </w:pPr>
      <w:r w:rsidRPr="00EA24A0">
        <w:t>peripheral and central auditory system</w:t>
      </w:r>
    </w:p>
    <w:p w:rsidR="00000000" w:rsidRPr="00EA24A0" w:rsidP="00EA24A0">
      <w:pPr>
        <w:pStyle w:val="ListBullet2"/>
      </w:pPr>
      <w:r w:rsidRPr="00EA24A0">
        <w:t>potential physical abnormalities</w:t>
      </w:r>
    </w:p>
    <w:p w:rsidR="00000000" w:rsidRPr="00EA24A0" w:rsidP="00EA24A0">
      <w:pPr>
        <w:pStyle w:val="ListBullet"/>
      </w:pPr>
      <w:r w:rsidRPr="00EA24A0">
        <w:t>hearing assessment battery elements:</w:t>
      </w:r>
    </w:p>
    <w:p w:rsidR="00000000" w:rsidRPr="00EA24A0" w:rsidP="00EA24A0">
      <w:pPr>
        <w:pStyle w:val="ListBullet2"/>
      </w:pPr>
      <w:r w:rsidRPr="00EA24A0">
        <w:t>taking case history</w:t>
      </w:r>
    </w:p>
    <w:p w:rsidR="00000000" w:rsidRPr="00EA24A0" w:rsidP="00EA24A0">
      <w:pPr>
        <w:pStyle w:val="ListBullet2"/>
      </w:pPr>
      <w:r w:rsidRPr="00EA24A0">
        <w:t>otoscopy</w:t>
      </w:r>
    </w:p>
    <w:p w:rsidR="00000000" w:rsidRPr="00EA24A0" w:rsidP="00EA24A0">
      <w:pPr>
        <w:pStyle w:val="ListBullet2"/>
      </w:pPr>
      <w:r w:rsidRPr="00EA24A0">
        <w:t>air</w:t>
      </w:r>
    </w:p>
    <w:p w:rsidR="00000000" w:rsidRPr="00EA24A0" w:rsidP="00EA24A0">
      <w:pPr>
        <w:pStyle w:val="ListBullet2"/>
      </w:pPr>
      <w:r w:rsidRPr="00EA24A0">
        <w:t>bone</w:t>
      </w:r>
    </w:p>
    <w:p w:rsidR="00000000" w:rsidRPr="00EA24A0" w:rsidP="00EA24A0">
      <w:pPr>
        <w:pStyle w:val="ListBullet2"/>
      </w:pPr>
      <w:r w:rsidRPr="00EA24A0">
        <w:t>speech discrimination (PI function)</w:t>
      </w:r>
    </w:p>
    <w:p w:rsidR="00000000" w:rsidRPr="00EA24A0" w:rsidP="00EA24A0">
      <w:pPr>
        <w:pStyle w:val="ListBullet2"/>
      </w:pPr>
      <w:r w:rsidRPr="00EA24A0">
        <w:t>SRT</w:t>
      </w:r>
    </w:p>
    <w:p w:rsidR="00000000" w:rsidRPr="00EA24A0" w:rsidP="00EA24A0">
      <w:pPr>
        <w:pStyle w:val="ListBullet2"/>
      </w:pPr>
      <w:r w:rsidRPr="00EA24A0">
        <w:t>masking (pure tone, speech)</w:t>
      </w:r>
    </w:p>
    <w:p w:rsidR="00000000" w:rsidRPr="00EA24A0" w:rsidP="00EA24A0">
      <w:pPr>
        <w:pStyle w:val="ListBullet2"/>
      </w:pPr>
      <w:r w:rsidRPr="00EA24A0">
        <w:t>tympanometry</w:t>
      </w:r>
    </w:p>
    <w:p w:rsidR="00000000" w:rsidRPr="00EA24A0" w:rsidP="00EA24A0">
      <w:pPr>
        <w:pStyle w:val="ListBullet2"/>
      </w:pPr>
      <w:r w:rsidRPr="00EA24A0">
        <w:t>ipsi/contralateral reflexes</w:t>
      </w:r>
    </w:p>
    <w:p w:rsidR="00000000" w:rsidRPr="00EA24A0" w:rsidP="00EA24A0">
      <w:pPr>
        <w:pStyle w:val="ListBullet2"/>
      </w:pPr>
      <w:r w:rsidRPr="00EA24A0">
        <w:t>reflex decay</w:t>
      </w:r>
    </w:p>
    <w:p w:rsidR="00000000" w:rsidRPr="00EA24A0" w:rsidP="00EA24A0">
      <w:pPr>
        <w:pStyle w:val="ListBullet"/>
      </w:pPr>
      <w:r w:rsidRPr="00EA24A0">
        <w:t>causes and types of hearing loss</w:t>
      </w:r>
    </w:p>
    <w:p w:rsidR="00000000" w:rsidRPr="00EA24A0" w:rsidP="00EA24A0">
      <w:pPr>
        <w:pStyle w:val="ListBullet"/>
      </w:pPr>
      <w:r w:rsidRPr="00EA24A0">
        <w:t>contraindications for hearing assessments</w:t>
      </w:r>
    </w:p>
    <w:p w:rsidR="00000000" w:rsidRPr="00EA24A0" w:rsidP="00EA24A0">
      <w:pPr>
        <w:pStyle w:val="ListBullet"/>
      </w:pPr>
      <w:r w:rsidRPr="00EA24A0">
        <w:t>physical environment requirements for audiometric assessments – booths versus quiet rooms</w:t>
      </w:r>
    </w:p>
    <w:p w:rsidR="00000000" w:rsidRPr="00EA24A0" w:rsidP="00EA24A0">
      <w:pPr>
        <w:pStyle w:val="ListBullet"/>
      </w:pPr>
      <w:r w:rsidRPr="00EA24A0">
        <w:t>equipment calibration both annual and biological</w:t>
      </w:r>
    </w:p>
    <w:p w:rsidR="00000000" w:rsidRPr="00EA24A0" w:rsidP="00EA24A0">
      <w:pPr>
        <w:pStyle w:val="ListBullet"/>
      </w:pPr>
      <w:r w:rsidRPr="00EA24A0">
        <w:t>characteristics of hearing tests, includin</w:t>
      </w:r>
      <w:r w:rsidRPr="00EA24A0">
        <w:t xml:space="preserve">g: </w:t>
      </w:r>
    </w:p>
    <w:p w:rsidR="00000000" w:rsidRPr="00EA24A0" w:rsidP="00EA24A0">
      <w:pPr>
        <w:pStyle w:val="ListBullet2"/>
      </w:pPr>
      <w:r w:rsidRPr="00EA24A0">
        <w:t>types</w:t>
      </w:r>
    </w:p>
    <w:p w:rsidR="00000000" w:rsidRPr="00EA24A0" w:rsidP="00EA24A0">
      <w:pPr>
        <w:pStyle w:val="ListBullet2"/>
      </w:pPr>
      <w:r w:rsidRPr="00EA24A0">
        <w:t>purpose of different tests</w:t>
      </w:r>
    </w:p>
    <w:p w:rsidR="00000000" w:rsidRPr="00EA24A0" w:rsidP="00EA24A0">
      <w:pPr>
        <w:pStyle w:val="ListBullet2"/>
      </w:pPr>
      <w:r w:rsidRPr="00EA24A0">
        <w:t>materials that can be used</w:t>
      </w:r>
    </w:p>
    <w:p w:rsidR="00000000" w:rsidRPr="00EA24A0" w:rsidP="00EA24A0">
      <w:pPr>
        <w:pStyle w:val="ListBullet2"/>
      </w:pPr>
      <w:r w:rsidRPr="00EA24A0">
        <w:t>suitability of tests for different clients</w:t>
      </w:r>
    </w:p>
    <w:p w:rsidR="00000000" w:rsidRPr="00EA24A0" w:rsidP="00EA24A0">
      <w:pPr>
        <w:pStyle w:val="ListBullet2"/>
      </w:pPr>
      <w:r w:rsidRPr="00EA24A0">
        <w:t>reliability/validity of particular tests</w:t>
      </w:r>
    </w:p>
    <w:p w:rsidR="00000000" w:rsidRPr="00EA24A0" w:rsidP="00EA24A0">
      <w:pPr>
        <w:pStyle w:val="ListBullet2"/>
      </w:pPr>
      <w:r w:rsidRPr="00EA24A0">
        <w:t>transducers (headphones, insert earphones, bone conductor, free field)</w:t>
      </w:r>
    </w:p>
    <w:p w:rsidR="00000000" w:rsidRPr="00EA24A0" w:rsidP="00EA24A0">
      <w:pPr>
        <w:pStyle w:val="ListBullet2"/>
      </w:pPr>
      <w:r w:rsidRPr="00EA24A0">
        <w:t xml:space="preserve">stimuli (pure tone, warble, pulsed, </w:t>
      </w:r>
      <w:r w:rsidRPr="00EA24A0">
        <w:t>narrow band noise, broad band noises, speech)</w:t>
      </w:r>
    </w:p>
    <w:p w:rsidR="00000000" w:rsidRPr="00EA24A0" w:rsidP="00EA24A0">
      <w:pPr>
        <w:pStyle w:val="AllowPageBreak"/>
      </w:pPr>
    </w:p>
    <w:p w:rsidR="00000000" w:rsidRPr="00EA24A0" w:rsidP="00EA24A0">
      <w:pPr>
        <w:pStyle w:val="Heading1"/>
      </w:pPr>
      <w:bookmarkStart w:id="4" w:name="O_656067"/>
      <w:bookmarkEnd w:id="4"/>
      <w:r w:rsidRPr="00EA24A0">
        <w:t>Assessment Conditions</w:t>
      </w:r>
    </w:p>
    <w:p w:rsidR="00000000" w:rsidRPr="00EA24A0" w:rsidP="00426908">
      <w:pPr>
        <w:pStyle w:val="BodyText"/>
      </w:pPr>
      <w:r w:rsidRPr="00EA24A0">
        <w:t xml:space="preserve">Skills must have been demonstrated in the workplace or in a simulated environment that reflects workplace conditions. The following conditions must be met for this unit: </w:t>
      </w:r>
    </w:p>
    <w:p w:rsidR="00000000" w:rsidRPr="00EA24A0" w:rsidP="00EA24A0">
      <w:pPr>
        <w:pStyle w:val="ListBullet"/>
      </w:pPr>
      <w:r w:rsidRPr="00EA24A0">
        <w:t xml:space="preserve">use of suitable facilities, equipment and resources, including: </w:t>
      </w:r>
    </w:p>
    <w:p w:rsidR="00000000" w:rsidRPr="00EA24A0" w:rsidP="00EA24A0">
      <w:pPr>
        <w:pStyle w:val="ListBullet2"/>
      </w:pPr>
      <w:r w:rsidRPr="00EA24A0">
        <w:t>equipment that meets requirements of AS/NZ 1269</w:t>
      </w:r>
    </w:p>
    <w:p w:rsidR="00000000" w:rsidRPr="00EA24A0" w:rsidP="00EA24A0">
      <w:pPr>
        <w:pStyle w:val="ListBullet2"/>
      </w:pPr>
      <w:r w:rsidRPr="00EA24A0">
        <w:t>documentation that meets notation standards</w:t>
      </w:r>
    </w:p>
    <w:p w:rsidR="00000000" w:rsidRPr="00EA24A0" w:rsidP="00EA24A0">
      <w:pPr>
        <w:pStyle w:val="ListBullet"/>
      </w:pPr>
      <w:r w:rsidRPr="00EA24A0">
        <w:t xml:space="preserve">modelling of industry operating conditions, including: </w:t>
      </w:r>
    </w:p>
    <w:p w:rsidR="00000000" w:rsidRPr="00EA24A0" w:rsidP="00EA24A0">
      <w:pPr>
        <w:pStyle w:val="ListBullet2"/>
      </w:pPr>
      <w:r w:rsidRPr="00EA24A0">
        <w:t>integration of problem solving activiti</w:t>
      </w:r>
      <w:r w:rsidRPr="00EA24A0">
        <w:t>es</w:t>
      </w:r>
    </w:p>
    <w:p w:rsidR="00000000" w:rsidRPr="00EA24A0" w:rsidP="00EA24A0">
      <w:pPr>
        <w:pStyle w:val="ListBullet2"/>
      </w:pPr>
      <w:r w:rsidRPr="00EA24A0">
        <w:t>time constraints for completion of testing</w:t>
      </w:r>
    </w:p>
    <w:p w:rsidR="00000000" w:rsidRPr="00EA24A0" w:rsidP="00EA24A0">
      <w:pPr>
        <w:pStyle w:val="ListBullet2"/>
      </w:pPr>
      <w:r w:rsidRPr="00EA24A0">
        <w:t>provision of services to general public</w:t>
      </w:r>
    </w:p>
    <w:p w:rsidR="00000000" w:rsidRPr="00EA24A0" w:rsidP="00EA24A0">
      <w:pPr>
        <w:pStyle w:val="BodyText"/>
      </w:pPr>
    </w:p>
    <w:p w:rsidR="00000000" w:rsidRPr="00EA24A0" w:rsidP="00426908">
      <w:pPr>
        <w:pStyle w:val="BodyText"/>
      </w:pPr>
      <w:r w:rsidRPr="00EA24A0">
        <w:t>Assessors must satisfy the Standards for Registered Training Organisations (RTOs) 2015/AQTF mandatory competency requirements for assessors.</w:t>
      </w:r>
    </w:p>
    <w:p w:rsidR="00000000" w:rsidRPr="00EA24A0" w:rsidP="00EA24A0">
      <w:pPr>
        <w:pStyle w:val="Heading1"/>
      </w:pPr>
      <w:bookmarkStart w:id="5" w:name="O_656070"/>
      <w:bookmarkEnd w:id="5"/>
      <w:r w:rsidRPr="00EA24A0">
        <w:t>Links</w:t>
      </w:r>
    </w:p>
    <w:p w:rsidR="00000000" w:rsidRPr="00EA24A0" w:rsidP="00426908">
      <w:pPr>
        <w:pStyle w:val="BodyText"/>
      </w:pPr>
      <w:r w:rsidRPr="00EA24A0">
        <w:t>Compa</w:t>
      </w:r>
      <w:r w:rsidRPr="00EA24A0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B768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A24A0" w:rsidP="00EA24A0"/>
    <w:sectPr w:rsidSect="00EA24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4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4A0" w:rsidRPr="00426908" w:rsidP="004269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4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908" w:rsidP="00EA24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6908" w:rsidP="00EA24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26908" w:rsidP="00EA24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4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9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24A0" w:rsidRPr="00426908" w:rsidP="004269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4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908" w:rsidRPr="002D2AF8" w:rsidP="00EA24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HLTAUD001 Assess hearing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26908" w:rsidP="00EA24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1216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FE38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5833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4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24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24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24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24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24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24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24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24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24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24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24A0"/>
  </w:style>
  <w:style w:type="character" w:customStyle="1" w:styleId="Heading1Char">
    <w:name w:val="Heading 1 Char"/>
    <w:basedOn w:val="DefaultParagraphFont"/>
    <w:link w:val="Heading1"/>
    <w:rsid w:val="00EA24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24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24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24A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24A0"/>
    <w:rPr>
      <w:b/>
      <w:spacing w:val="0"/>
    </w:rPr>
  </w:style>
  <w:style w:type="paragraph" w:styleId="ListBullet2">
    <w:name w:val="List Bullet 2"/>
    <w:basedOn w:val="List2"/>
    <w:rsid w:val="00EA24A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24A0"/>
    <w:rPr>
      <w:i/>
    </w:rPr>
  </w:style>
  <w:style w:type="paragraph" w:customStyle="1" w:styleId="SuperHeading">
    <w:name w:val="SuperHeading"/>
    <w:basedOn w:val="Normal"/>
    <w:rsid w:val="00EA24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24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A24A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A24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24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24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24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24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24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24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24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24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24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24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24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24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24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24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24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24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24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24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24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24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24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24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24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24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24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24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24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24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24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24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24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24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24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24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24A0"/>
  </w:style>
  <w:style w:type="paragraph" w:styleId="TableofFigures">
    <w:name w:val="table of figures"/>
    <w:basedOn w:val="Normal"/>
    <w:next w:val="Normal"/>
    <w:semiHidden/>
    <w:rsid w:val="00EA24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24A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A24A0"/>
    <w:rPr>
      <w:rFonts w:ascii="Wingdings" w:hAnsi="Wingdings"/>
    </w:rPr>
  </w:style>
  <w:style w:type="paragraph" w:customStyle="1" w:styleId="TableHeading">
    <w:name w:val="Table Heading"/>
    <w:basedOn w:val="HeadingBase"/>
    <w:rsid w:val="00EA24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24A0"/>
    <w:rPr>
      <w:color w:val="0033CC"/>
      <w:u w:val="none"/>
    </w:rPr>
  </w:style>
  <w:style w:type="paragraph" w:customStyle="1" w:styleId="BodyTextRight">
    <w:name w:val="Body Text Right"/>
    <w:basedOn w:val="BodyText"/>
    <w:rsid w:val="00EA24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24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24A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24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24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24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24A0"/>
    <w:rPr>
      <w:sz w:val="32"/>
    </w:rPr>
  </w:style>
  <w:style w:type="paragraph" w:customStyle="1" w:styleId="HeadingProcedure">
    <w:name w:val="Heading Procedure"/>
    <w:basedOn w:val="HeadingBase"/>
    <w:next w:val="Normal"/>
    <w:rsid w:val="00EA24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24A0"/>
    <w:pPr>
      <w:spacing w:before="60" w:after="60"/>
    </w:pPr>
  </w:style>
  <w:style w:type="paragraph" w:styleId="ListContinue">
    <w:name w:val="List Continue"/>
    <w:basedOn w:val="List"/>
    <w:rsid w:val="00EA24A0"/>
    <w:pPr>
      <w:ind w:firstLine="0"/>
    </w:pPr>
  </w:style>
  <w:style w:type="paragraph" w:customStyle="1" w:styleId="ListNote">
    <w:name w:val="List Note"/>
    <w:basedOn w:val="List"/>
    <w:rsid w:val="00EA24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24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24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24A0"/>
    <w:rPr>
      <w:rFonts w:ascii="Courier New" w:hAnsi="Courier New"/>
    </w:rPr>
  </w:style>
  <w:style w:type="paragraph" w:customStyle="1" w:styleId="NoteBullet">
    <w:name w:val="Note Bullet"/>
    <w:basedOn w:val="Note"/>
    <w:rsid w:val="00EA24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24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24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24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24A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A24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24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24A0"/>
    <w:rPr>
      <w:b/>
      <w:smallCaps/>
    </w:rPr>
  </w:style>
  <w:style w:type="paragraph" w:customStyle="1" w:styleId="TableListNumber">
    <w:name w:val="Table List Number"/>
    <w:basedOn w:val="ListNumber"/>
    <w:rsid w:val="00EA24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24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24A0"/>
    <w:pPr>
      <w:numPr>
        <w:numId w:val="10"/>
      </w:numPr>
    </w:pPr>
  </w:style>
  <w:style w:type="paragraph" w:customStyle="1" w:styleId="ListAlpha2">
    <w:name w:val="List Alpha 2"/>
    <w:basedOn w:val="List2"/>
    <w:rsid w:val="00EA24A0"/>
    <w:pPr>
      <w:numPr>
        <w:numId w:val="9"/>
      </w:numPr>
    </w:pPr>
  </w:style>
  <w:style w:type="paragraph" w:styleId="List2">
    <w:name w:val="List 2"/>
    <w:basedOn w:val="BodyText"/>
    <w:rsid w:val="00EA24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24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24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24A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A24A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A24A0"/>
    <w:pPr>
      <w:numPr>
        <w:numId w:val="5"/>
      </w:numPr>
    </w:pPr>
  </w:style>
  <w:style w:type="paragraph" w:styleId="ListContinue2">
    <w:name w:val="List Continue 2"/>
    <w:basedOn w:val="List2"/>
    <w:rsid w:val="00EA24A0"/>
    <w:pPr>
      <w:ind w:firstLine="0"/>
    </w:pPr>
  </w:style>
  <w:style w:type="paragraph" w:styleId="ListContinue3">
    <w:name w:val="List Continue 3"/>
    <w:basedOn w:val="List3"/>
    <w:rsid w:val="00EA24A0"/>
    <w:pPr>
      <w:ind w:left="1021" w:firstLine="0"/>
    </w:pPr>
  </w:style>
  <w:style w:type="paragraph" w:styleId="ListContinue4">
    <w:name w:val="List Continue 4"/>
    <w:basedOn w:val="List4"/>
    <w:rsid w:val="00EA24A0"/>
    <w:pPr>
      <w:ind w:firstLine="0"/>
    </w:pPr>
  </w:style>
  <w:style w:type="paragraph" w:styleId="ListContinue5">
    <w:name w:val="List Continue 5"/>
    <w:basedOn w:val="List5"/>
    <w:rsid w:val="00EA24A0"/>
    <w:pPr>
      <w:ind w:firstLine="0"/>
    </w:pPr>
  </w:style>
  <w:style w:type="paragraph" w:styleId="ListNumber3">
    <w:name w:val="List Number 3"/>
    <w:basedOn w:val="List3"/>
    <w:rsid w:val="00EA24A0"/>
    <w:pPr>
      <w:numPr>
        <w:numId w:val="6"/>
      </w:numPr>
    </w:pPr>
  </w:style>
  <w:style w:type="paragraph" w:styleId="ListNumber4">
    <w:name w:val="List Number 4"/>
    <w:basedOn w:val="List4"/>
    <w:rsid w:val="00EA24A0"/>
    <w:pPr>
      <w:numPr>
        <w:numId w:val="7"/>
      </w:numPr>
    </w:pPr>
  </w:style>
  <w:style w:type="paragraph" w:styleId="ListNumber5">
    <w:name w:val="List Number 5"/>
    <w:basedOn w:val="List5"/>
    <w:rsid w:val="00EA24A0"/>
    <w:pPr>
      <w:numPr>
        <w:numId w:val="8"/>
      </w:numPr>
    </w:pPr>
  </w:style>
  <w:style w:type="paragraph" w:styleId="BlockText">
    <w:name w:val="Block Text"/>
    <w:basedOn w:val="Normal"/>
    <w:rsid w:val="00EA24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24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24A0"/>
    <w:rPr>
      <w:sz w:val="16"/>
      <w:vertAlign w:val="superscript"/>
    </w:rPr>
  </w:style>
  <w:style w:type="character" w:customStyle="1" w:styleId="Symbols">
    <w:name w:val="Symbols"/>
    <w:basedOn w:val="DefaultParagraphFont"/>
    <w:rsid w:val="00EA24A0"/>
    <w:rPr>
      <w:rFonts w:ascii="Symbol" w:hAnsi="Symbol"/>
    </w:rPr>
  </w:style>
  <w:style w:type="character" w:customStyle="1" w:styleId="MenuOptions">
    <w:name w:val="Menu Options"/>
    <w:basedOn w:val="DefaultParagraphFont"/>
    <w:rsid w:val="00EA24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24A0"/>
    <w:rPr>
      <w:b/>
    </w:rPr>
  </w:style>
  <w:style w:type="character" w:customStyle="1" w:styleId="Underlined">
    <w:name w:val="Underlined"/>
    <w:basedOn w:val="DefaultParagraphFont"/>
    <w:rsid w:val="00EA24A0"/>
    <w:rPr>
      <w:u w:val="single"/>
    </w:rPr>
  </w:style>
  <w:style w:type="paragraph" w:customStyle="1" w:styleId="TableBodyTextRight">
    <w:name w:val="Table Body Text Right"/>
    <w:basedOn w:val="TableBodyText"/>
    <w:rsid w:val="00EA24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24A0"/>
    <w:rPr>
      <w:sz w:val="18"/>
    </w:rPr>
  </w:style>
  <w:style w:type="paragraph" w:customStyle="1" w:styleId="BodySmallRight">
    <w:name w:val="Body Small Right"/>
    <w:basedOn w:val="BodyTextRight"/>
    <w:rsid w:val="00EA24A0"/>
    <w:rPr>
      <w:sz w:val="18"/>
      <w:szCs w:val="18"/>
    </w:rPr>
  </w:style>
  <w:style w:type="paragraph" w:customStyle="1" w:styleId="MarginEdition">
    <w:name w:val="Margin Edition"/>
    <w:basedOn w:val="MarginNote"/>
    <w:rsid w:val="00EA24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24A0"/>
    <w:rPr>
      <w:sz w:val="2"/>
      <w:szCs w:val="2"/>
    </w:rPr>
  </w:style>
  <w:style w:type="character" w:customStyle="1" w:styleId="Small">
    <w:name w:val="Small"/>
    <w:basedOn w:val="DefaultParagraphFont"/>
    <w:rsid w:val="00EA24A0"/>
    <w:rPr>
      <w:sz w:val="16"/>
    </w:rPr>
  </w:style>
  <w:style w:type="paragraph" w:customStyle="1" w:styleId="WideTable">
    <w:name w:val="Wide Table"/>
    <w:basedOn w:val="Normal"/>
    <w:rsid w:val="00EA24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24A0"/>
  </w:style>
  <w:style w:type="paragraph" w:styleId="Quote">
    <w:name w:val="Quote"/>
    <w:basedOn w:val="Heading1"/>
    <w:link w:val="QuoteChar"/>
    <w:qFormat/>
    <w:rsid w:val="00EA24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24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24A0"/>
    <w:pPr>
      <w:pageBreakBefore/>
    </w:pPr>
  </w:style>
  <w:style w:type="paragraph" w:customStyle="1" w:styleId="Border">
    <w:name w:val="Border"/>
    <w:basedOn w:val="Normal"/>
    <w:qFormat/>
    <w:rsid w:val="00EA24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24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4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4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24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24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24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24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24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24A0"/>
    <w:rPr>
      <w:u w:val="single"/>
    </w:rPr>
  </w:style>
  <w:style w:type="character" w:customStyle="1" w:styleId="BoldandItalics">
    <w:name w:val="Bold and Italics"/>
    <w:qFormat/>
    <w:rsid w:val="00EA24A0"/>
    <w:rPr>
      <w:b/>
      <w:i/>
      <w:u w:val="none"/>
    </w:rPr>
  </w:style>
  <w:style w:type="paragraph" w:styleId="BalloonText">
    <w:name w:val="Balloon Text"/>
    <w:basedOn w:val="Normal"/>
    <w:link w:val="BalloonTextChar"/>
    <w:rsid w:val="00EA24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24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24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24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24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24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24A0"/>
    <w:pPr>
      <w:spacing w:before="0" w:after="0"/>
    </w:pPr>
  </w:style>
  <w:style w:type="paragraph" w:customStyle="1" w:styleId="BodyTextBold">
    <w:name w:val="Body Text Bold"/>
    <w:basedOn w:val="BodyText"/>
    <w:qFormat/>
    <w:rsid w:val="00EA24A0"/>
    <w:rPr>
      <w:b/>
    </w:rPr>
  </w:style>
  <w:style w:type="character" w:styleId="Hyperlink">
    <w:name w:val="Hyperlink"/>
    <w:basedOn w:val="DefaultParagraphFont"/>
    <w:uiPriority w:val="99"/>
    <w:unhideWhenUsed/>
    <w:rsid w:val="004269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3815</Characters>
  <Application>Microsoft Office Word</Application>
  <DocSecurity>0</DocSecurity>
  <Lines>105</Lines>
  <Paragraphs>85</Paragraphs>
  <ScaleCrop>false</ScaleCrop>
  <Company>Author-it Software Corporation Ltd.</Company>
  <LinksUpToDate>false</LinksUpToDate>
  <CharactersWithSpaces>4287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HLTAUD001 Assess hearing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2023-07-01T03:56:00Z</dcterms:created>
  <dcterms:modified xsi:type="dcterms:W3CDTF">2023-07-01T03:56:00Z</dcterms:modified>
</cp:coreProperties>
</file>