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B9B" w:rsidP="005F1B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HLTARO009 Select and advise on aromatic therapies</w:t>
      </w:r>
      <w:r>
        <w:fldChar w:fldCharType="end"/>
      </w:r>
    </w:p>
    <w:p w:rsidR="005F1B9B" w:rsidP="005F1B9B">
      <w:pPr>
        <w:pStyle w:val="Version"/>
        <w:sectPr w:rsidSect="00B01A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A59" w:rsidP="00B01A59">
      <w:pPr>
        <w:pStyle w:val="SuperHeading"/>
      </w:pPr>
      <w:r w:rsidRPr="00B01A59">
        <w:t>Assessment Requirements for HLTARO009 Select and advise on aromatic therapies</w:t>
      </w:r>
    </w:p>
    <w:p w:rsidR="00000000" w:rsidRPr="00B01A59" w:rsidP="00B01A59">
      <w:pPr>
        <w:pStyle w:val="Heading1"/>
      </w:pPr>
      <w:bookmarkStart w:id="1" w:name="O_656045"/>
      <w:bookmarkEnd w:id="1"/>
      <w:r w:rsidRPr="00B01A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01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A59" w:rsidP="00B01A59">
            <w:pPr>
              <w:pStyle w:val="BodyText"/>
            </w:pPr>
            <w:r w:rsidRPr="00B01A5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59">
            <w:pPr>
              <w:pStyle w:val="BodyText"/>
              <w:rPr>
                <w:lang w:val="en-NZ"/>
              </w:rPr>
            </w:pPr>
            <w:r w:rsidRPr="00B01A59">
              <w:rPr>
                <w:rStyle w:val="SpecialBold"/>
              </w:rPr>
              <w:t>Comments</w:t>
            </w:r>
          </w:p>
        </w:tc>
      </w:tr>
      <w:tr w:rsidTr="00B01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59">
            <w:pPr>
              <w:pStyle w:val="BodyText"/>
              <w:rPr>
                <w:lang w:val="en-NZ"/>
              </w:rPr>
            </w:pPr>
            <w:r w:rsidRPr="00B01A5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A59" w:rsidP="00B01A59">
            <w:pPr>
              <w:pStyle w:val="BodyText"/>
            </w:pPr>
            <w:r w:rsidRPr="00B01A59">
              <w:t xml:space="preserve">This version was released in </w:t>
            </w:r>
            <w:r w:rsidRPr="00B01A59">
              <w:rPr>
                <w:rStyle w:val="Emphasis"/>
              </w:rPr>
              <w:t>CHC Community Services Training Package release 2.0</w:t>
            </w:r>
            <w:r w:rsidRPr="00B01A59">
              <w:t xml:space="preserve"> and meets the requ</w:t>
            </w:r>
            <w:r w:rsidRPr="00B01A59">
              <w:t>irements of the 2012 Standards for Training Packages.</w:t>
            </w:r>
          </w:p>
          <w:p w:rsidR="00000000" w:rsidRPr="00B01A59" w:rsidP="00B01A59">
            <w:pPr>
              <w:pStyle w:val="BodyText"/>
            </w:pPr>
            <w:r w:rsidRPr="00B01A59">
              <w:t>Merged HLTARO604B/HLTARO605B. Significant changes to the elements and performance criteria. New evidence requirements for assessment, including volume and frequency requirements. Significant change to k</w:t>
            </w:r>
            <w:r w:rsidRPr="00B01A59">
              <w:t>nowledge evidence. Additional assessor requirements.</w:t>
            </w:r>
          </w:p>
        </w:tc>
      </w:tr>
    </w:tbl>
    <w:p w:rsidR="00000000" w:rsidRPr="00B01A59" w:rsidP="00B01A59">
      <w:pPr>
        <w:pStyle w:val="BodyText"/>
      </w:pPr>
    </w:p>
    <w:p w:rsidR="00000000" w:rsidRPr="00B01A59" w:rsidP="00B01A59">
      <w:pPr>
        <w:pStyle w:val="AllowPageBreak"/>
      </w:pPr>
    </w:p>
    <w:p w:rsidR="00000000" w:rsidRPr="00B01A59" w:rsidP="00B01A59">
      <w:pPr>
        <w:pStyle w:val="Heading1"/>
      </w:pPr>
      <w:bookmarkStart w:id="2" w:name="O_656046"/>
      <w:bookmarkEnd w:id="2"/>
      <w:r w:rsidRPr="00B01A59">
        <w:t>Performance Evidence</w:t>
      </w:r>
    </w:p>
    <w:p w:rsidR="00000000" w:rsidRPr="00B01A59" w:rsidP="005F1B9B">
      <w:pPr>
        <w:pStyle w:val="BodyText"/>
      </w:pPr>
      <w:r w:rsidRPr="00B01A59">
        <w:t>The candidate must show evidence of the ability to complete tasks outlined in elements and performance criteria of this unit, manage tasks and manage contingencies</w:t>
      </w:r>
      <w:r w:rsidRPr="00B01A59">
        <w:t xml:space="preserve"> in the context of the job role. There must be evidence that the candidate has:</w:t>
      </w:r>
    </w:p>
    <w:p w:rsidR="00000000" w:rsidRPr="00B01A59" w:rsidP="00B01A59">
      <w:pPr>
        <w:pStyle w:val="ListBullet"/>
      </w:pPr>
      <w:r w:rsidRPr="00B01A59">
        <w:t>undertaken a structured process of critical analysis, research and reflection to determine, document and evaluate aromatic therapy treatment strategies that include preparatio</w:t>
      </w:r>
      <w:r w:rsidRPr="00B01A59">
        <w:t>ns for internal administration for at least 15 different clients, all of whom must have been seen at least 3 times. Clients must include males and females from different stages of life with varied presentations</w:t>
      </w:r>
    </w:p>
    <w:p w:rsidR="00000000" w:rsidRPr="00B01A59" w:rsidP="00B01A59">
      <w:pPr>
        <w:pStyle w:val="ListBullet"/>
      </w:pPr>
      <w:r w:rsidRPr="00B01A59">
        <w:t>interacted effectively with clients through t</w:t>
      </w:r>
      <w:r w:rsidRPr="00B01A59">
        <w:t>he provision of clear information on the treatment strategy</w:t>
      </w:r>
    </w:p>
    <w:p w:rsidR="00000000" w:rsidRPr="00B01A59" w:rsidP="00B01A59">
      <w:pPr>
        <w:pStyle w:val="AllowPageBreak"/>
      </w:pPr>
    </w:p>
    <w:p w:rsidR="00000000" w:rsidRPr="00B01A59" w:rsidP="00B01A59">
      <w:pPr>
        <w:pStyle w:val="Heading1"/>
      </w:pPr>
      <w:bookmarkStart w:id="3" w:name="O_656047"/>
      <w:bookmarkEnd w:id="3"/>
      <w:r w:rsidRPr="00B01A59">
        <w:t>Knowledge Evidence</w:t>
      </w:r>
    </w:p>
    <w:p w:rsidR="00000000" w:rsidRPr="00B01A59" w:rsidP="005F1B9B">
      <w:pPr>
        <w:pStyle w:val="BodyText"/>
      </w:pPr>
      <w:r w:rsidRPr="00B01A59">
        <w:t xml:space="preserve">The candidate must be able to demonstrate essential knowledge required to effectively complete tasks outlined in elements and performance criteria of </w:t>
      </w:r>
      <w:r w:rsidRPr="00B01A59">
        <w:t>this unit, manage tasks and manage contingencies in the context of the work role. This includes knowledge of:</w:t>
      </w:r>
    </w:p>
    <w:p w:rsidR="00000000" w:rsidRPr="00B01A59" w:rsidP="00B01A59">
      <w:pPr>
        <w:pStyle w:val="ListBullet"/>
      </w:pPr>
      <w:r w:rsidRPr="00B01A59">
        <w:t>legal and ethical considerations (national and state/territory) for working with aromatic therapies that include formulations for internal use:</w:t>
      </w:r>
    </w:p>
    <w:p w:rsidR="00000000" w:rsidRPr="00B01A59" w:rsidP="00B01A59">
      <w:pPr>
        <w:pStyle w:val="ListBullet2"/>
      </w:pPr>
      <w:r w:rsidRPr="00B01A59">
        <w:t>children in the workplace</w:t>
      </w:r>
    </w:p>
    <w:p w:rsidR="00000000" w:rsidRPr="00B01A59" w:rsidP="00B01A59">
      <w:pPr>
        <w:pStyle w:val="ListBullet2"/>
      </w:pPr>
      <w:r w:rsidRPr="00B01A59">
        <w:t>codes of conduct</w:t>
      </w:r>
    </w:p>
    <w:p w:rsidR="00000000" w:rsidRPr="00B01A59" w:rsidP="00B01A59">
      <w:pPr>
        <w:pStyle w:val="ListBullet2"/>
      </w:pPr>
      <w:r w:rsidRPr="00B01A59">
        <w:t>duty of care</w:t>
      </w:r>
    </w:p>
    <w:p w:rsidR="00000000" w:rsidRPr="00B01A59" w:rsidP="00B01A59">
      <w:pPr>
        <w:pStyle w:val="ListBullet2"/>
      </w:pPr>
      <w:r w:rsidRPr="00B01A59">
        <w:t>informed consent</w:t>
      </w:r>
    </w:p>
    <w:p w:rsidR="00000000" w:rsidRPr="00B01A59" w:rsidP="00B01A59">
      <w:pPr>
        <w:pStyle w:val="ListBullet2"/>
      </w:pPr>
      <w:r w:rsidRPr="00B01A59">
        <w:t>mandatory reporting</w:t>
      </w:r>
    </w:p>
    <w:p w:rsidR="00000000" w:rsidRPr="00B01A59" w:rsidP="00B01A59">
      <w:pPr>
        <w:pStyle w:val="ListBullet2"/>
      </w:pPr>
      <w:r w:rsidRPr="00B01A59">
        <w:t xml:space="preserve">practitioner/client boundaries </w:t>
      </w:r>
    </w:p>
    <w:p w:rsidR="00000000" w:rsidRPr="00B01A59" w:rsidP="00B01A59">
      <w:pPr>
        <w:pStyle w:val="ListBullet2"/>
      </w:pPr>
      <w:r w:rsidRPr="00B01A59">
        <w:t>privacy, confidentiality and disclosure</w:t>
      </w:r>
    </w:p>
    <w:p w:rsidR="00000000" w:rsidRPr="00B01A59" w:rsidP="00B01A59">
      <w:pPr>
        <w:pStyle w:val="ListBullet2"/>
      </w:pPr>
      <w:r w:rsidRPr="00B01A59">
        <w:t>records management</w:t>
      </w:r>
    </w:p>
    <w:p w:rsidR="00000000" w:rsidRPr="00B01A59" w:rsidP="00B01A59">
      <w:pPr>
        <w:pStyle w:val="ListBullet2"/>
      </w:pPr>
      <w:r w:rsidRPr="00B01A59">
        <w:t>work role boundaries</w:t>
      </w:r>
    </w:p>
    <w:p w:rsidR="00000000" w:rsidRPr="00B01A59" w:rsidP="00B01A59">
      <w:pPr>
        <w:pStyle w:val="ListBullet3"/>
      </w:pPr>
      <w:r w:rsidRPr="00B01A59">
        <w:t>working within scope of practice</w:t>
      </w:r>
    </w:p>
    <w:p w:rsidR="00000000" w:rsidRPr="00B01A59" w:rsidP="00B01A59">
      <w:pPr>
        <w:pStyle w:val="ListBullet3"/>
      </w:pPr>
      <w:r w:rsidRPr="00B01A59">
        <w:t>presenting symptoms that require referral to a medical practitioner</w:t>
      </w:r>
    </w:p>
    <w:p w:rsidR="00000000" w:rsidRPr="00B01A59" w:rsidP="00B01A59">
      <w:pPr>
        <w:pStyle w:val="ListBullet2"/>
      </w:pPr>
      <w:r w:rsidRPr="00B01A59">
        <w:t>work health and safety</w:t>
      </w:r>
    </w:p>
    <w:p w:rsidR="00000000" w:rsidRPr="00B01A59" w:rsidP="00B01A59">
      <w:pPr>
        <w:pStyle w:val="ListBullet"/>
      </w:pPr>
      <w:r w:rsidRPr="00B01A59">
        <w:t xml:space="preserve">groups of aromatic preparations, how to distinguish between them, according to actions, active constituents, body systems and plant families </w:t>
      </w:r>
    </w:p>
    <w:p w:rsidR="00000000" w:rsidRPr="00B01A59" w:rsidP="00B01A59">
      <w:pPr>
        <w:pStyle w:val="ListBullet"/>
      </w:pPr>
      <w:r w:rsidRPr="00B01A59">
        <w:t>interrelationships an</w:t>
      </w:r>
      <w:r w:rsidRPr="00B01A59">
        <w:t>d incompatibilities (chemical and physical) between aromatic formulation groups</w:t>
      </w:r>
    </w:p>
    <w:p w:rsidR="00000000" w:rsidRPr="00B01A59" w:rsidP="00B01A59">
      <w:pPr>
        <w:pStyle w:val="ListBullet"/>
      </w:pPr>
      <w:r w:rsidRPr="00B01A59">
        <w:t>types and features of internal preparations:</w:t>
      </w:r>
    </w:p>
    <w:p w:rsidR="00000000" w:rsidRPr="00B01A59" w:rsidP="00B01A59">
      <w:pPr>
        <w:pStyle w:val="ListBullet2"/>
      </w:pPr>
      <w:r w:rsidRPr="00B01A59">
        <w:t>water-based preparations using dispersing agents</w:t>
      </w:r>
    </w:p>
    <w:p w:rsidR="00000000" w:rsidRPr="00B01A59" w:rsidP="00B01A59">
      <w:pPr>
        <w:pStyle w:val="ListBullet2"/>
      </w:pPr>
      <w:r w:rsidRPr="00B01A59">
        <w:t>capsules</w:t>
      </w:r>
    </w:p>
    <w:p w:rsidR="00000000" w:rsidRPr="00B01A59" w:rsidP="00B01A59">
      <w:pPr>
        <w:pStyle w:val="ListBullet2"/>
      </w:pPr>
      <w:r w:rsidRPr="00B01A59">
        <w:t>absorbent tablets</w:t>
      </w:r>
    </w:p>
    <w:p w:rsidR="00000000" w:rsidRPr="00B01A59" w:rsidP="00B01A59">
      <w:pPr>
        <w:pStyle w:val="ListBullet2"/>
      </w:pPr>
      <w:r w:rsidRPr="00B01A59">
        <w:t>sub-lingual preparations</w:t>
      </w:r>
    </w:p>
    <w:p w:rsidR="00000000" w:rsidRPr="00B01A59" w:rsidP="00B01A59">
      <w:pPr>
        <w:pStyle w:val="ListBullet2"/>
      </w:pPr>
      <w:r w:rsidRPr="00B01A59">
        <w:t>eye, ear, nose and throat preparations</w:t>
      </w:r>
    </w:p>
    <w:p w:rsidR="00000000" w:rsidRPr="00B01A59" w:rsidP="00B01A59">
      <w:pPr>
        <w:pStyle w:val="ListBullet2"/>
      </w:pPr>
      <w:r w:rsidRPr="00B01A59">
        <w:t>inhalations</w:t>
      </w:r>
    </w:p>
    <w:p w:rsidR="00000000" w:rsidRPr="00B01A59" w:rsidP="00B01A59">
      <w:pPr>
        <w:pStyle w:val="ListBullet2"/>
      </w:pPr>
      <w:r w:rsidRPr="00B01A59">
        <w:t>mixture with herbal tinctures</w:t>
      </w:r>
    </w:p>
    <w:p w:rsidR="00000000" w:rsidRPr="00B01A59" w:rsidP="00B01A59">
      <w:pPr>
        <w:pStyle w:val="ListBullet2"/>
      </w:pPr>
      <w:r w:rsidRPr="00B01A59">
        <w:t>suppositories</w:t>
      </w:r>
    </w:p>
    <w:p w:rsidR="00000000" w:rsidRPr="00B01A59" w:rsidP="00B01A59">
      <w:pPr>
        <w:pStyle w:val="ListBullet2"/>
      </w:pPr>
      <w:r w:rsidRPr="00B01A59">
        <w:t>pessaries</w:t>
      </w:r>
    </w:p>
    <w:p w:rsidR="00000000" w:rsidRPr="00B01A59" w:rsidP="00B01A59">
      <w:pPr>
        <w:pStyle w:val="ListBullet"/>
      </w:pPr>
      <w:r w:rsidRPr="00B01A59">
        <w:t>at least 30 aromatic oils that can be used for internal applications, preparations or purposes including:</w:t>
      </w:r>
    </w:p>
    <w:p w:rsidR="00000000" w:rsidRPr="00B01A59" w:rsidP="00B01A59">
      <w:pPr>
        <w:pStyle w:val="ListBullet2"/>
      </w:pPr>
      <w:r w:rsidRPr="00B01A59">
        <w:t>origin</w:t>
      </w:r>
    </w:p>
    <w:p w:rsidR="00000000" w:rsidRPr="00B01A59" w:rsidP="00B01A59">
      <w:pPr>
        <w:pStyle w:val="ListBullet2"/>
      </w:pPr>
      <w:r w:rsidRPr="00B01A59">
        <w:t>characteristics</w:t>
      </w:r>
    </w:p>
    <w:p w:rsidR="00000000" w:rsidRPr="00B01A59" w:rsidP="00B01A59">
      <w:pPr>
        <w:pStyle w:val="ListBullet2"/>
      </w:pPr>
      <w:r w:rsidRPr="00B01A59">
        <w:t>therapeutic applicat</w:t>
      </w:r>
      <w:r w:rsidRPr="00B01A59">
        <w:t>ions</w:t>
      </w:r>
    </w:p>
    <w:p w:rsidR="00000000" w:rsidRPr="00B01A59" w:rsidP="00B01A59">
      <w:pPr>
        <w:pStyle w:val="ListBullet2"/>
      </w:pPr>
      <w:r w:rsidRPr="00B01A59">
        <w:t>modes of administration</w:t>
      </w:r>
    </w:p>
    <w:p w:rsidR="00000000" w:rsidRPr="00B01A59" w:rsidP="00B01A59">
      <w:pPr>
        <w:pStyle w:val="ListBullet2"/>
      </w:pPr>
      <w:r w:rsidRPr="00B01A59">
        <w:t>interactions with other drugs</w:t>
      </w:r>
    </w:p>
    <w:p w:rsidR="00000000" w:rsidRPr="00B01A59" w:rsidP="00B01A59">
      <w:pPr>
        <w:pStyle w:val="ListBullet2"/>
      </w:pPr>
      <w:r w:rsidRPr="00B01A59">
        <w:t>contraindications to use</w:t>
      </w:r>
    </w:p>
    <w:p w:rsidR="00000000" w:rsidRPr="00B01A59" w:rsidP="00B01A59">
      <w:pPr>
        <w:pStyle w:val="ListBullet"/>
      </w:pPr>
      <w:r w:rsidRPr="00B01A59">
        <w:t>essential oils and aromatic extracts:</w:t>
      </w:r>
    </w:p>
    <w:p w:rsidR="00000000" w:rsidRPr="00B01A59" w:rsidP="00B01A59">
      <w:pPr>
        <w:pStyle w:val="ListBullet2"/>
      </w:pPr>
      <w:r w:rsidRPr="00B01A59">
        <w:t xml:space="preserve">that exhibit potential toxicity at low dosages </w:t>
      </w:r>
    </w:p>
    <w:p w:rsidR="00000000" w:rsidRPr="00B01A59" w:rsidP="00B01A59">
      <w:pPr>
        <w:pStyle w:val="ListBullet2"/>
      </w:pPr>
      <w:r w:rsidRPr="00B01A59">
        <w:t>appropriate dosages and methods of applications</w:t>
      </w:r>
    </w:p>
    <w:p w:rsidR="00000000" w:rsidRPr="00B01A59" w:rsidP="00B01A59">
      <w:pPr>
        <w:pStyle w:val="ListBullet2"/>
      </w:pPr>
      <w:r w:rsidRPr="00B01A59">
        <w:t>specific contraindications for use</w:t>
      </w:r>
    </w:p>
    <w:p w:rsidR="00000000" w:rsidRPr="00B01A59" w:rsidP="00B01A59">
      <w:pPr>
        <w:pStyle w:val="ListBullet2"/>
      </w:pPr>
      <w:r w:rsidRPr="00B01A59">
        <w:t>specific essential oils and aromatic extracts to be avoided for use</w:t>
      </w:r>
    </w:p>
    <w:p w:rsidR="00000000" w:rsidRPr="00B01A59" w:rsidP="00B01A59">
      <w:pPr>
        <w:pStyle w:val="ListBullet"/>
      </w:pPr>
      <w:r w:rsidRPr="00B01A59">
        <w:t>pharmacodynamics of aromatic preparations and pharmaceutical drugs:</w:t>
      </w:r>
    </w:p>
    <w:p w:rsidR="00000000" w:rsidRPr="00B01A59" w:rsidP="00B01A59">
      <w:pPr>
        <w:pStyle w:val="ListBullet2"/>
      </w:pPr>
      <w:r w:rsidRPr="00B01A59">
        <w:t>drug administration</w:t>
      </w:r>
    </w:p>
    <w:p w:rsidR="00000000" w:rsidRPr="00B01A59" w:rsidP="00B01A59">
      <w:pPr>
        <w:pStyle w:val="ListBullet2"/>
      </w:pPr>
      <w:r w:rsidRPr="00B01A59">
        <w:t>absorption</w:t>
      </w:r>
    </w:p>
    <w:p w:rsidR="00000000" w:rsidRPr="00B01A59" w:rsidP="00B01A59">
      <w:pPr>
        <w:pStyle w:val="ListBullet2"/>
      </w:pPr>
      <w:r w:rsidRPr="00B01A59">
        <w:t>distribution</w:t>
      </w:r>
    </w:p>
    <w:p w:rsidR="00000000" w:rsidRPr="00B01A59" w:rsidP="00B01A59">
      <w:pPr>
        <w:pStyle w:val="ListBullet2"/>
      </w:pPr>
      <w:r w:rsidRPr="00B01A59">
        <w:t>metabolism</w:t>
      </w:r>
    </w:p>
    <w:p w:rsidR="00000000" w:rsidRPr="00B01A59" w:rsidP="00B01A59">
      <w:pPr>
        <w:pStyle w:val="ListBullet2"/>
      </w:pPr>
      <w:r w:rsidRPr="00B01A59">
        <w:t>excretion</w:t>
      </w:r>
    </w:p>
    <w:p w:rsidR="00000000" w:rsidRPr="00B01A59" w:rsidP="00B01A59">
      <w:pPr>
        <w:pStyle w:val="ListBullet"/>
      </w:pPr>
      <w:r w:rsidRPr="00B01A59">
        <w:t>pharmacodynamics of aromatic preparations and pharma</w:t>
      </w:r>
      <w:r w:rsidRPr="00B01A59">
        <w:t>ceutical drugs:</w:t>
      </w:r>
    </w:p>
    <w:p w:rsidR="00000000" w:rsidRPr="00B01A59" w:rsidP="00B01A59">
      <w:pPr>
        <w:pStyle w:val="ListBullet2"/>
      </w:pPr>
      <w:r w:rsidRPr="00B01A59">
        <w:t>theory of drug action</w:t>
      </w:r>
    </w:p>
    <w:p w:rsidR="00000000" w:rsidRPr="00B01A59" w:rsidP="00B01A59">
      <w:pPr>
        <w:pStyle w:val="ListBullet2"/>
      </w:pPr>
      <w:r w:rsidRPr="00B01A59">
        <w:t>factors modifying drug effect and dosage</w:t>
      </w:r>
    </w:p>
    <w:p w:rsidR="00000000" w:rsidRPr="00B01A59" w:rsidP="00B01A59">
      <w:pPr>
        <w:pStyle w:val="ListBullet2"/>
      </w:pPr>
      <w:r w:rsidRPr="00B01A59">
        <w:t>drug toxicity and toxicology</w:t>
      </w:r>
    </w:p>
    <w:p w:rsidR="00000000" w:rsidRPr="00B01A59" w:rsidP="00B01A59">
      <w:pPr>
        <w:pStyle w:val="ListBullet"/>
      </w:pPr>
      <w:r w:rsidRPr="00B01A59">
        <w:t>pharmacology of aromatic preparations and pharmaceutical drugs, their classifications, usage and side effects</w:t>
      </w:r>
    </w:p>
    <w:p w:rsidR="00000000" w:rsidRPr="00B01A59" w:rsidP="00B01A59">
      <w:pPr>
        <w:pStyle w:val="ListBullet"/>
      </w:pPr>
      <w:r w:rsidRPr="00B01A59">
        <w:t>pharmacology of aromatic preparations and their interactions with over the counter (OTC) vitamin, mineral and herbal preparations – usage and side effects</w:t>
      </w:r>
    </w:p>
    <w:p w:rsidR="00000000" w:rsidRPr="00B01A59" w:rsidP="00B01A59">
      <w:pPr>
        <w:pStyle w:val="AllowPageBreak"/>
      </w:pPr>
    </w:p>
    <w:p w:rsidR="00000000" w:rsidRPr="00B01A59" w:rsidP="00B01A59">
      <w:pPr>
        <w:pStyle w:val="Heading1"/>
      </w:pPr>
      <w:bookmarkStart w:id="4" w:name="O_656048"/>
      <w:bookmarkEnd w:id="4"/>
      <w:r w:rsidRPr="00B01A59">
        <w:t>Assessment Conditions</w:t>
      </w:r>
    </w:p>
    <w:p w:rsidR="00000000" w:rsidRPr="00B01A59" w:rsidP="005F1B9B">
      <w:pPr>
        <w:pStyle w:val="BodyText"/>
      </w:pPr>
      <w:r w:rsidRPr="00B01A59">
        <w:t>Skills must have been demonstrated in the workplace or in a si</w:t>
      </w:r>
      <w:r w:rsidRPr="00B01A59">
        <w:t xml:space="preserve">mulated clinical environment that reflects workplace conditions. The following conditions must be met for this unit: </w:t>
      </w:r>
    </w:p>
    <w:p w:rsidR="00000000" w:rsidRPr="00B01A59" w:rsidP="00B01A59">
      <w:pPr>
        <w:pStyle w:val="ListBullet"/>
      </w:pPr>
      <w:r w:rsidRPr="00B01A59">
        <w:t xml:space="preserve">use of suitable facilities, equipment and resources, including: </w:t>
      </w:r>
    </w:p>
    <w:p w:rsidR="00000000" w:rsidRPr="00B01A59" w:rsidP="00B01A59">
      <w:pPr>
        <w:pStyle w:val="ListBullet2"/>
      </w:pPr>
      <w:r w:rsidRPr="00B01A59">
        <w:t>client information – case history, treatment plan</w:t>
      </w:r>
    </w:p>
    <w:p w:rsidR="00000000" w:rsidRPr="00B01A59" w:rsidP="00B01A59">
      <w:pPr>
        <w:pStyle w:val="ListBullet2"/>
      </w:pPr>
      <w:r w:rsidRPr="00B01A59">
        <w:t xml:space="preserve">private consultation </w:t>
      </w:r>
      <w:r w:rsidRPr="00B01A59">
        <w:t>area</w:t>
      </w:r>
    </w:p>
    <w:p w:rsidR="00000000" w:rsidRPr="00B01A59" w:rsidP="00B01A59">
      <w:pPr>
        <w:pStyle w:val="ListBullet2"/>
      </w:pPr>
      <w:r w:rsidRPr="00B01A59">
        <w:t>aromatic medicines</w:t>
      </w:r>
    </w:p>
    <w:p w:rsidR="00000000" w:rsidRPr="00B01A59" w:rsidP="00B01A59">
      <w:pPr>
        <w:pStyle w:val="ListBullet"/>
      </w:pPr>
      <w:r w:rsidRPr="00B01A59">
        <w:t xml:space="preserve">modelling of industry operating conditions, including provision of services to the general public </w:t>
      </w:r>
    </w:p>
    <w:p w:rsidR="00000000" w:rsidRPr="00B01A59" w:rsidP="00B01A59">
      <w:pPr>
        <w:pStyle w:val="ListBullet"/>
      </w:pPr>
      <w:r w:rsidRPr="00B01A59">
        <w:t>clinic supervision by a person who meets the assessor requirements outlined below</w:t>
      </w:r>
    </w:p>
    <w:p w:rsidR="00000000" w:rsidRPr="00B01A59" w:rsidP="00B01A59">
      <w:pPr>
        <w:pStyle w:val="BodyText"/>
      </w:pPr>
    </w:p>
    <w:p w:rsidR="00000000" w:rsidRPr="00B01A59" w:rsidP="005F1B9B">
      <w:pPr>
        <w:pStyle w:val="BodyText"/>
      </w:pPr>
      <w:r w:rsidRPr="00B01A59">
        <w:t>Assessors must satisfy the Standards for Register</w:t>
      </w:r>
      <w:r w:rsidRPr="00B01A59">
        <w:t>ed Training Organisations (RTOs) 2015/AQTF mandatory competency requirements for assessors.</w:t>
      </w:r>
    </w:p>
    <w:p w:rsidR="00000000" w:rsidRPr="00B01A59" w:rsidP="005F1B9B">
      <w:pPr>
        <w:pStyle w:val="BodyText"/>
      </w:pPr>
      <w:r w:rsidRPr="00B01A59">
        <w:t>In addition, assessors must:</w:t>
      </w:r>
    </w:p>
    <w:p w:rsidR="00000000" w:rsidRPr="00B01A59" w:rsidP="00B01A59">
      <w:pPr>
        <w:pStyle w:val="ListBullet"/>
      </w:pPr>
      <w:r w:rsidRPr="00B01A59">
        <w:t>have at least 5 years current experience working as a clinical aromatherapist providing services to the general public</w:t>
      </w:r>
    </w:p>
    <w:p w:rsidR="00000000" w:rsidRPr="00B01A59" w:rsidP="00B01A59">
      <w:pPr>
        <w:pStyle w:val="ListBullet"/>
      </w:pPr>
      <w:r w:rsidRPr="00B01A59">
        <w:t>hold practising membership of an Australian professional body that represents clinical aromatherapists and aromatic medicine</w:t>
      </w:r>
    </w:p>
    <w:p w:rsidR="00000000" w:rsidRPr="00B01A59" w:rsidP="00B01A59">
      <w:pPr>
        <w:pStyle w:val="ListBullet"/>
      </w:pPr>
      <w:r w:rsidRPr="00B01A59">
        <w:t>fulfil the continuing professional development requirements of the professional body to which they belong</w:t>
      </w:r>
    </w:p>
    <w:p w:rsidR="00000000" w:rsidRPr="00B01A59" w:rsidP="00B01A59">
      <w:pPr>
        <w:pStyle w:val="AllowPageBreak"/>
      </w:pPr>
    </w:p>
    <w:p w:rsidR="00000000" w:rsidRPr="00B01A59" w:rsidP="00B01A59">
      <w:pPr>
        <w:pStyle w:val="Heading1"/>
      </w:pPr>
      <w:bookmarkStart w:id="5" w:name="O_656051"/>
      <w:bookmarkEnd w:id="5"/>
      <w:r w:rsidRPr="00B01A59">
        <w:t>Links</w:t>
      </w:r>
    </w:p>
    <w:p w:rsidR="00000000" w:rsidRPr="00B01A59" w:rsidP="005F1B9B">
      <w:pPr>
        <w:pStyle w:val="BodyText"/>
      </w:pPr>
      <w:r w:rsidRPr="00B01A59">
        <w:t>Co</w:t>
      </w:r>
      <w:r w:rsidRPr="00B01A59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9176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01A59" w:rsidP="00B01A59"/>
    <w:sectPr w:rsidSect="00B01A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59" w:rsidRPr="005F1B9B" w:rsidP="005F1B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B9B" w:rsidP="00B01A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1B9B" w:rsidP="00B01A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F1B9B" w:rsidP="00B01A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B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A59" w:rsidRPr="005F1B9B" w:rsidP="005F1B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B9B" w:rsidRPr="002D2AF8" w:rsidP="00B01A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HLTARO009 Select and advise on aromatic therapies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F1B9B" w:rsidP="00B01A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E617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F85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9017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A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A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A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A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A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A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A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A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A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A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A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A59"/>
  </w:style>
  <w:style w:type="character" w:customStyle="1" w:styleId="Heading1Char">
    <w:name w:val="Heading 1 Char"/>
    <w:basedOn w:val="DefaultParagraphFont"/>
    <w:link w:val="Heading1"/>
    <w:rsid w:val="00B01A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A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A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1A5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1A59"/>
    <w:rPr>
      <w:b/>
      <w:spacing w:val="0"/>
    </w:rPr>
  </w:style>
  <w:style w:type="paragraph" w:styleId="ListBullet2">
    <w:name w:val="List Bullet 2"/>
    <w:basedOn w:val="List2"/>
    <w:rsid w:val="00B01A5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1A59"/>
    <w:rPr>
      <w:i/>
    </w:rPr>
  </w:style>
  <w:style w:type="paragraph" w:customStyle="1" w:styleId="SuperHeading">
    <w:name w:val="SuperHeading"/>
    <w:basedOn w:val="Normal"/>
    <w:rsid w:val="00B01A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A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01A5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01A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A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A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A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A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A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A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A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A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A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A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A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A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A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A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1A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A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A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A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1A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A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A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A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A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A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A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A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A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1A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A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A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A59"/>
  </w:style>
  <w:style w:type="paragraph" w:styleId="TableofFigures">
    <w:name w:val="table of figures"/>
    <w:basedOn w:val="Normal"/>
    <w:next w:val="Normal"/>
    <w:semiHidden/>
    <w:rsid w:val="00B01A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A5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01A59"/>
    <w:rPr>
      <w:rFonts w:ascii="Wingdings" w:hAnsi="Wingdings"/>
    </w:rPr>
  </w:style>
  <w:style w:type="paragraph" w:customStyle="1" w:styleId="TableHeading">
    <w:name w:val="Table Heading"/>
    <w:basedOn w:val="HeadingBase"/>
    <w:rsid w:val="00B01A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A59"/>
    <w:rPr>
      <w:color w:val="0033CC"/>
      <w:u w:val="none"/>
    </w:rPr>
  </w:style>
  <w:style w:type="paragraph" w:customStyle="1" w:styleId="BodyTextRight">
    <w:name w:val="Body Text Right"/>
    <w:basedOn w:val="BodyText"/>
    <w:rsid w:val="00B01A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A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A5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A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A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A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A59"/>
    <w:rPr>
      <w:sz w:val="32"/>
    </w:rPr>
  </w:style>
  <w:style w:type="paragraph" w:customStyle="1" w:styleId="HeadingProcedure">
    <w:name w:val="Heading Procedure"/>
    <w:basedOn w:val="HeadingBase"/>
    <w:next w:val="Normal"/>
    <w:rsid w:val="00B01A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A59"/>
    <w:pPr>
      <w:spacing w:before="60" w:after="60"/>
    </w:pPr>
  </w:style>
  <w:style w:type="paragraph" w:styleId="ListContinue">
    <w:name w:val="List Continue"/>
    <w:basedOn w:val="List"/>
    <w:rsid w:val="00B01A59"/>
    <w:pPr>
      <w:ind w:firstLine="0"/>
    </w:pPr>
  </w:style>
  <w:style w:type="paragraph" w:customStyle="1" w:styleId="ListNote">
    <w:name w:val="List Note"/>
    <w:basedOn w:val="List"/>
    <w:rsid w:val="00B01A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A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A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A59"/>
    <w:rPr>
      <w:rFonts w:ascii="Courier New" w:hAnsi="Courier New"/>
    </w:rPr>
  </w:style>
  <w:style w:type="paragraph" w:customStyle="1" w:styleId="NoteBullet">
    <w:name w:val="Note Bullet"/>
    <w:basedOn w:val="Note"/>
    <w:rsid w:val="00B01A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A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A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A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A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01A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A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A59"/>
    <w:rPr>
      <w:b/>
      <w:smallCaps/>
    </w:rPr>
  </w:style>
  <w:style w:type="paragraph" w:customStyle="1" w:styleId="TableListNumber">
    <w:name w:val="Table List Number"/>
    <w:basedOn w:val="ListNumber"/>
    <w:rsid w:val="00B01A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A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A59"/>
    <w:pPr>
      <w:numPr>
        <w:numId w:val="10"/>
      </w:numPr>
    </w:pPr>
  </w:style>
  <w:style w:type="paragraph" w:customStyle="1" w:styleId="ListAlpha2">
    <w:name w:val="List Alpha 2"/>
    <w:basedOn w:val="List2"/>
    <w:rsid w:val="00B01A59"/>
    <w:pPr>
      <w:numPr>
        <w:numId w:val="9"/>
      </w:numPr>
    </w:pPr>
  </w:style>
  <w:style w:type="paragraph" w:styleId="List2">
    <w:name w:val="List 2"/>
    <w:basedOn w:val="BodyText"/>
    <w:rsid w:val="00B01A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A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A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A5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01A5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01A59"/>
    <w:pPr>
      <w:numPr>
        <w:numId w:val="5"/>
      </w:numPr>
    </w:pPr>
  </w:style>
  <w:style w:type="paragraph" w:styleId="ListContinue2">
    <w:name w:val="List Continue 2"/>
    <w:basedOn w:val="List2"/>
    <w:rsid w:val="00B01A59"/>
    <w:pPr>
      <w:ind w:firstLine="0"/>
    </w:pPr>
  </w:style>
  <w:style w:type="paragraph" w:styleId="ListContinue3">
    <w:name w:val="List Continue 3"/>
    <w:basedOn w:val="List3"/>
    <w:rsid w:val="00B01A59"/>
    <w:pPr>
      <w:ind w:left="1021" w:firstLine="0"/>
    </w:pPr>
  </w:style>
  <w:style w:type="paragraph" w:styleId="ListContinue4">
    <w:name w:val="List Continue 4"/>
    <w:basedOn w:val="List4"/>
    <w:rsid w:val="00B01A59"/>
    <w:pPr>
      <w:ind w:firstLine="0"/>
    </w:pPr>
  </w:style>
  <w:style w:type="paragraph" w:styleId="ListContinue5">
    <w:name w:val="List Continue 5"/>
    <w:basedOn w:val="List5"/>
    <w:rsid w:val="00B01A59"/>
    <w:pPr>
      <w:ind w:firstLine="0"/>
    </w:pPr>
  </w:style>
  <w:style w:type="paragraph" w:styleId="ListNumber3">
    <w:name w:val="List Number 3"/>
    <w:basedOn w:val="List3"/>
    <w:rsid w:val="00B01A59"/>
    <w:pPr>
      <w:numPr>
        <w:numId w:val="6"/>
      </w:numPr>
    </w:pPr>
  </w:style>
  <w:style w:type="paragraph" w:styleId="ListNumber4">
    <w:name w:val="List Number 4"/>
    <w:basedOn w:val="List4"/>
    <w:rsid w:val="00B01A59"/>
    <w:pPr>
      <w:numPr>
        <w:numId w:val="7"/>
      </w:numPr>
    </w:pPr>
  </w:style>
  <w:style w:type="paragraph" w:styleId="ListNumber5">
    <w:name w:val="List Number 5"/>
    <w:basedOn w:val="List5"/>
    <w:rsid w:val="00B01A59"/>
    <w:pPr>
      <w:numPr>
        <w:numId w:val="8"/>
      </w:numPr>
    </w:pPr>
  </w:style>
  <w:style w:type="paragraph" w:styleId="BlockText">
    <w:name w:val="Block Text"/>
    <w:basedOn w:val="Normal"/>
    <w:rsid w:val="00B01A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A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A59"/>
    <w:rPr>
      <w:sz w:val="16"/>
      <w:vertAlign w:val="superscript"/>
    </w:rPr>
  </w:style>
  <w:style w:type="character" w:customStyle="1" w:styleId="Symbols">
    <w:name w:val="Symbols"/>
    <w:basedOn w:val="DefaultParagraphFont"/>
    <w:rsid w:val="00B01A59"/>
    <w:rPr>
      <w:rFonts w:ascii="Symbol" w:hAnsi="Symbol"/>
    </w:rPr>
  </w:style>
  <w:style w:type="character" w:customStyle="1" w:styleId="MenuOptions">
    <w:name w:val="Menu Options"/>
    <w:basedOn w:val="DefaultParagraphFont"/>
    <w:rsid w:val="00B01A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A59"/>
    <w:rPr>
      <w:b/>
    </w:rPr>
  </w:style>
  <w:style w:type="character" w:customStyle="1" w:styleId="Underlined">
    <w:name w:val="Underlined"/>
    <w:basedOn w:val="DefaultParagraphFont"/>
    <w:rsid w:val="00B01A59"/>
    <w:rPr>
      <w:u w:val="single"/>
    </w:rPr>
  </w:style>
  <w:style w:type="paragraph" w:customStyle="1" w:styleId="TableBodyTextRight">
    <w:name w:val="Table Body Text Right"/>
    <w:basedOn w:val="TableBodyText"/>
    <w:rsid w:val="00B01A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A59"/>
    <w:rPr>
      <w:sz w:val="18"/>
    </w:rPr>
  </w:style>
  <w:style w:type="paragraph" w:customStyle="1" w:styleId="BodySmallRight">
    <w:name w:val="Body Small Right"/>
    <w:basedOn w:val="BodyTextRight"/>
    <w:rsid w:val="00B01A59"/>
    <w:rPr>
      <w:sz w:val="18"/>
      <w:szCs w:val="18"/>
    </w:rPr>
  </w:style>
  <w:style w:type="paragraph" w:customStyle="1" w:styleId="MarginEdition">
    <w:name w:val="Margin Edition"/>
    <w:basedOn w:val="MarginNote"/>
    <w:rsid w:val="00B01A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A59"/>
    <w:rPr>
      <w:sz w:val="2"/>
      <w:szCs w:val="2"/>
    </w:rPr>
  </w:style>
  <w:style w:type="character" w:customStyle="1" w:styleId="Small">
    <w:name w:val="Small"/>
    <w:basedOn w:val="DefaultParagraphFont"/>
    <w:rsid w:val="00B01A59"/>
    <w:rPr>
      <w:sz w:val="16"/>
    </w:rPr>
  </w:style>
  <w:style w:type="paragraph" w:customStyle="1" w:styleId="WideTable">
    <w:name w:val="Wide Table"/>
    <w:basedOn w:val="Normal"/>
    <w:rsid w:val="00B01A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A59"/>
  </w:style>
  <w:style w:type="paragraph" w:styleId="Quote">
    <w:name w:val="Quote"/>
    <w:basedOn w:val="Heading1"/>
    <w:link w:val="QuoteChar"/>
    <w:qFormat/>
    <w:rsid w:val="00B01A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A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A59"/>
    <w:pPr>
      <w:pageBreakBefore/>
    </w:pPr>
  </w:style>
  <w:style w:type="paragraph" w:customStyle="1" w:styleId="Border">
    <w:name w:val="Border"/>
    <w:basedOn w:val="Normal"/>
    <w:qFormat/>
    <w:rsid w:val="00B01A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A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A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A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A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A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A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A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A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A59"/>
    <w:rPr>
      <w:u w:val="single"/>
    </w:rPr>
  </w:style>
  <w:style w:type="character" w:customStyle="1" w:styleId="BoldandItalics">
    <w:name w:val="Bold and Italics"/>
    <w:qFormat/>
    <w:rsid w:val="00B01A59"/>
    <w:rPr>
      <w:b/>
      <w:i/>
      <w:u w:val="none"/>
    </w:rPr>
  </w:style>
  <w:style w:type="paragraph" w:styleId="BalloonText">
    <w:name w:val="Balloon Text"/>
    <w:basedOn w:val="Normal"/>
    <w:link w:val="BalloonTextChar"/>
    <w:rsid w:val="00B01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A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A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A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A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A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A59"/>
    <w:pPr>
      <w:spacing w:before="0" w:after="0"/>
    </w:pPr>
  </w:style>
  <w:style w:type="paragraph" w:customStyle="1" w:styleId="BodyTextBold">
    <w:name w:val="Body Text Bold"/>
    <w:basedOn w:val="BodyText"/>
    <w:qFormat/>
    <w:rsid w:val="00B01A59"/>
    <w:rPr>
      <w:b/>
    </w:rPr>
  </w:style>
  <w:style w:type="character" w:styleId="Hyperlink">
    <w:name w:val="Hyperlink"/>
    <w:basedOn w:val="DefaultParagraphFont"/>
    <w:uiPriority w:val="99"/>
    <w:unhideWhenUsed/>
    <w:rsid w:val="005F1B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4397</Characters>
  <Application>Microsoft Office Word</Application>
  <DocSecurity>0</DocSecurity>
  <Lines>122</Lines>
  <Paragraphs>91</Paragraphs>
  <ScaleCrop>false</ScaleCrop>
  <Company>Author-it Software Corporation Ltd.</Company>
  <LinksUpToDate>false</LinksUpToDate>
  <CharactersWithSpaces>4955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HLTARO009 Select and advise on aromatic therapies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2023-07-02T02:36:00Z</dcterms:created>
  <dcterms:modified xsi:type="dcterms:W3CDTF">2023-07-02T02:36:00Z</dcterms:modified>
</cp:coreProperties>
</file>