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C4C76" w:rsidP="00AC4C7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HLTANA014 Monitor medications in the anaesthetic environment</w:t>
      </w:r>
      <w:r>
        <w:fldChar w:fldCharType="end"/>
      </w:r>
    </w:p>
    <w:p w:rsidR="00AC4C76" w:rsidP="00AC4C76">
      <w:pPr>
        <w:pStyle w:val="Version"/>
        <w:sectPr w:rsidSect="00FB2C2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B2C28" w:rsidP="00FB2C28">
      <w:pPr>
        <w:pStyle w:val="SuperHeading"/>
      </w:pPr>
      <w:r w:rsidRPr="00FB2C28">
        <w:t>HLTANA014 Monitor medications in the anaesthetic environment</w:t>
      </w:r>
    </w:p>
    <w:p w:rsidR="00000000" w:rsidRPr="00FB2C28" w:rsidP="00FB2C28">
      <w:pPr>
        <w:pStyle w:val="Heading1"/>
      </w:pPr>
      <w:bookmarkStart w:id="1" w:name="O_1199004"/>
      <w:bookmarkEnd w:id="1"/>
      <w:r w:rsidRPr="00FB2C28">
        <w:t>Modification History</w:t>
      </w:r>
    </w:p>
    <w:p w:rsidR="00000000" w:rsidRPr="00FB2C28" w:rsidP="00AC4C76">
      <w:pPr>
        <w:pStyle w:val="BodyText"/>
      </w:pPr>
      <w:r w:rsidRPr="00FB2C28">
        <w:t>Supersedes and is not equivalent to HLTANA007 Monitor medications in the anaesthetic environment.</w:t>
      </w:r>
    </w:p>
    <w:p w:rsidR="00000000" w:rsidRPr="00FB2C28" w:rsidP="00FB2C28">
      <w:pPr>
        <w:pStyle w:val="Heading1"/>
      </w:pPr>
      <w:bookmarkStart w:id="2" w:name="O_1199005"/>
      <w:bookmarkEnd w:id="2"/>
      <w:r w:rsidRPr="00FB2C28">
        <w:t>Application</w:t>
      </w:r>
    </w:p>
    <w:p w:rsidR="00000000" w:rsidRPr="00FB2C28" w:rsidP="00AC4C76">
      <w:pPr>
        <w:pStyle w:val="BodyText"/>
      </w:pPr>
      <w:r w:rsidRPr="00FB2C28">
        <w:t>This unit describes the skills and knowledge required to access and prepare medications,</w:t>
      </w:r>
      <w:r w:rsidRPr="00FB2C28">
        <w:t xml:space="preserve"> fluids, blood and blood products prescribed by the anaesthetist, to monitor patient responses.</w:t>
      </w:r>
    </w:p>
    <w:p w:rsidR="00000000" w:rsidRPr="00FB2C28" w:rsidP="00AC4C76">
      <w:pPr>
        <w:pStyle w:val="BodyText"/>
      </w:pPr>
      <w:r w:rsidRPr="00FB2C28">
        <w:t xml:space="preserve">The unit applies to anaesthetic technicians working under the direction of, and in consultation with an anaesthetist in any hospital or day surgery setting. </w:t>
      </w:r>
    </w:p>
    <w:p w:rsidR="00000000" w:rsidRPr="00FB2C28" w:rsidP="00AC4C76">
      <w:pPr>
        <w:pStyle w:val="BodyText"/>
      </w:pPr>
      <w:r w:rsidRPr="00FB2C28">
        <w:t>Th</w:t>
      </w:r>
      <w:r w:rsidRPr="00FB2C28">
        <w:t>e skills in this unit must be applied in accordance with Commonwealth and State or Territory legislation, Australian standards and industry codes of practice.</w:t>
      </w:r>
    </w:p>
    <w:p w:rsidR="00000000" w:rsidRPr="00FB2C28" w:rsidP="00AC4C76">
      <w:pPr>
        <w:pStyle w:val="BodyText"/>
      </w:pPr>
      <w:r w:rsidRPr="00FB2C28">
        <w:t xml:space="preserve">No occupational licensing, certification or specific legislative requirements apply to this unit </w:t>
      </w:r>
      <w:r w:rsidRPr="00FB2C28">
        <w:t>at the time of publication.</w:t>
      </w:r>
    </w:p>
    <w:p w:rsidR="00000000" w:rsidRPr="00FB2C28" w:rsidP="00FB2C28">
      <w:pPr>
        <w:pStyle w:val="Heading1"/>
      </w:pPr>
      <w:bookmarkStart w:id="3" w:name="O_1199006"/>
      <w:bookmarkEnd w:id="3"/>
      <w:r w:rsidRPr="00FB2C28">
        <w:t>Pre-requisite Unit</w:t>
      </w:r>
    </w:p>
    <w:p w:rsidR="00000000" w:rsidRPr="00FB2C28" w:rsidP="00AC4C76">
      <w:pPr>
        <w:pStyle w:val="BodyText"/>
      </w:pPr>
      <w:r w:rsidRPr="00FB2C28">
        <w:t xml:space="preserve">Nil </w:t>
      </w:r>
    </w:p>
    <w:p w:rsidR="00000000" w:rsidRPr="00FB2C28" w:rsidP="00FB2C28">
      <w:pPr>
        <w:pStyle w:val="Heading1"/>
      </w:pPr>
      <w:bookmarkStart w:id="4" w:name="O_1199007"/>
      <w:bookmarkEnd w:id="4"/>
      <w:r w:rsidRPr="00FB2C28">
        <w:t>Competency Field</w:t>
      </w:r>
    </w:p>
    <w:p w:rsidR="00000000" w:rsidRPr="00FB2C28" w:rsidP="00AC4C76">
      <w:pPr>
        <w:pStyle w:val="BodyText"/>
      </w:pPr>
      <w:r w:rsidRPr="00FB2C28">
        <w:t>Anaesthetic Technology</w:t>
      </w:r>
    </w:p>
    <w:p w:rsidR="00000000" w:rsidRPr="00FB2C28" w:rsidP="00FB2C28">
      <w:pPr>
        <w:pStyle w:val="Heading1"/>
      </w:pPr>
      <w:bookmarkStart w:id="5" w:name="O_1199008"/>
      <w:bookmarkEnd w:id="5"/>
      <w:r w:rsidRPr="00FB2C28">
        <w:t>Unit Sector</w:t>
      </w:r>
    </w:p>
    <w:p w:rsidR="00000000" w:rsidRPr="00FB2C28" w:rsidP="00AC4C76">
      <w:pPr>
        <w:pStyle w:val="BodyText"/>
      </w:pPr>
      <w:r w:rsidRPr="00FB2C28">
        <w:t xml:space="preserve">Health </w:t>
      </w:r>
    </w:p>
    <w:p w:rsidR="00000000" w:rsidRPr="00FB2C28" w:rsidP="00FB2C28">
      <w:pPr>
        <w:pStyle w:val="Heading1"/>
      </w:pPr>
      <w:bookmarkStart w:id="6" w:name="O_1199009"/>
      <w:bookmarkEnd w:id="6"/>
      <w:r w:rsidRPr="00FB2C2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FB2C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2C28" w:rsidP="00FB2C28">
            <w:pPr>
              <w:pStyle w:val="BodyText"/>
            </w:pPr>
            <w:r w:rsidRPr="00FB2C28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2C28">
            <w:pPr>
              <w:pStyle w:val="BodyText"/>
              <w:rPr>
                <w:lang w:val="en-NZ"/>
              </w:rPr>
            </w:pPr>
            <w:r w:rsidRPr="00FB2C28">
              <w:rPr>
                <w:rStyle w:val="SpecialBold"/>
              </w:rPr>
              <w:t>PERFORMANCE</w:t>
            </w:r>
            <w:r w:rsidRPr="00FB2C28">
              <w:t xml:space="preserve"> </w:t>
            </w:r>
            <w:r w:rsidRPr="00FB2C28">
              <w:rPr>
                <w:rStyle w:val="SpecialBold"/>
              </w:rPr>
              <w:t>CRITERIA</w:t>
            </w:r>
          </w:p>
        </w:tc>
      </w:tr>
      <w:tr w:rsidTr="00FB2C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1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2C28" w:rsidP="00FB2C28">
            <w:pPr>
              <w:pStyle w:val="BodyText"/>
            </w:pPr>
            <w:r w:rsidRPr="00FB2C28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2C28">
            <w:pPr>
              <w:pStyle w:val="BodyText"/>
              <w:rPr>
                <w:lang w:val="en-NZ"/>
              </w:rPr>
            </w:pPr>
            <w:r w:rsidRPr="00FB2C2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B2C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1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2C28">
            <w:pPr>
              <w:pStyle w:val="List"/>
              <w:rPr>
                <w:lang w:val="en-NZ"/>
              </w:rPr>
            </w:pPr>
            <w:r w:rsidRPr="00FB2C28">
              <w:t>1.  Access medications.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2C28" w:rsidP="00FB2C28">
            <w:pPr>
              <w:pStyle w:val="List"/>
            </w:pPr>
            <w:r w:rsidRPr="00FB2C28">
              <w:t>1.1. Access medications when directed by anaesthetist or other health professional.</w:t>
            </w:r>
          </w:p>
          <w:p w:rsidR="00000000" w:rsidRPr="00FB2C28" w:rsidP="00FB2C28">
            <w:pPr>
              <w:pStyle w:val="List"/>
            </w:pPr>
            <w:r w:rsidRPr="00FB2C28">
              <w:t>1.2. Follo</w:t>
            </w:r>
            <w:r w:rsidRPr="00FB2C28">
              <w:t xml:space="preserve">w legal and organisational policies and procedures to obtain drugs. </w:t>
            </w:r>
          </w:p>
          <w:p w:rsidR="00000000" w:rsidP="00FB2C28">
            <w:pPr>
              <w:pStyle w:val="List"/>
              <w:rPr>
                <w:lang w:val="en-NZ"/>
              </w:rPr>
            </w:pPr>
            <w:r w:rsidRPr="00FB2C28">
              <w:t>1.3. Identify indication of medication.</w:t>
            </w:r>
          </w:p>
        </w:tc>
      </w:tr>
      <w:tr w:rsidTr="00FB2C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2C28">
            <w:pPr>
              <w:pStyle w:val="List"/>
              <w:rPr>
                <w:lang w:val="en-NZ"/>
              </w:rPr>
            </w:pPr>
            <w:r w:rsidRPr="00FB2C28">
              <w:t>2.  Prepare medications for administration.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2C28" w:rsidP="00FB2C28">
            <w:pPr>
              <w:pStyle w:val="List"/>
            </w:pPr>
            <w:r w:rsidRPr="00FB2C28">
              <w:t xml:space="preserve">2.1. Interpret patient records for information that may impact medication administration. </w:t>
            </w:r>
          </w:p>
          <w:p w:rsidR="00000000" w:rsidRPr="00FB2C28" w:rsidP="00FB2C28">
            <w:pPr>
              <w:pStyle w:val="List"/>
            </w:pPr>
            <w:r w:rsidRPr="00FB2C28">
              <w:t>2.2. Communicate details from patient records to anaesthetist or health professionals.</w:t>
            </w:r>
          </w:p>
          <w:p w:rsidR="00000000" w:rsidRPr="00FB2C28" w:rsidP="00FB2C28">
            <w:pPr>
              <w:pStyle w:val="List"/>
            </w:pPr>
            <w:r w:rsidRPr="00FB2C28">
              <w:t>2.3. Accurately measure, calculate and confirm medication dosages as directed by health professional and in accordance with requirements for specific medications.</w:t>
            </w:r>
          </w:p>
          <w:p w:rsidR="00000000" w:rsidRPr="00FB2C28" w:rsidP="00FB2C28">
            <w:pPr>
              <w:pStyle w:val="List"/>
            </w:pPr>
            <w:r w:rsidRPr="00FB2C28">
              <w:t>2.4. A</w:t>
            </w:r>
            <w:r w:rsidRPr="00FB2C28">
              <w:t xml:space="preserve">septically prepare and correctly label intravenous drugs. </w:t>
            </w:r>
          </w:p>
          <w:p w:rsidR="00000000" w:rsidRPr="00FB2C28" w:rsidP="00FB2C28">
            <w:pPr>
              <w:pStyle w:val="List"/>
            </w:pPr>
            <w:r w:rsidRPr="00FB2C28">
              <w:t>2.5. Program infusion device and confirm programming sequence with second authorised person.</w:t>
            </w:r>
          </w:p>
          <w:p w:rsidR="00000000" w:rsidP="00FB2C28">
            <w:pPr>
              <w:pStyle w:val="List"/>
              <w:rPr>
                <w:lang w:val="en-NZ"/>
              </w:rPr>
            </w:pPr>
            <w:r w:rsidRPr="00FB2C28">
              <w:t>2.6. Safely dispose of waste and sharps in accordance with organisational procedures.</w:t>
            </w:r>
          </w:p>
        </w:tc>
      </w:tr>
      <w:tr w:rsidTr="00FB2C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7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2C28">
            <w:pPr>
              <w:pStyle w:val="List"/>
              <w:rPr>
                <w:lang w:val="en-NZ"/>
              </w:rPr>
            </w:pPr>
            <w:r w:rsidRPr="00FB2C28">
              <w:t>3.  Monitor and r</w:t>
            </w:r>
            <w:r w:rsidRPr="00FB2C28">
              <w:t>ecord patient responses.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2C28" w:rsidP="00FB2C28">
            <w:pPr>
              <w:pStyle w:val="List"/>
            </w:pPr>
            <w:r w:rsidRPr="00FB2C28">
              <w:t>3.1. Identify adverse patient responses and report to anaesthetist.</w:t>
            </w:r>
          </w:p>
          <w:p w:rsidR="00000000" w:rsidRPr="00FB2C28" w:rsidP="00FB2C28">
            <w:pPr>
              <w:pStyle w:val="List"/>
            </w:pPr>
            <w:r w:rsidRPr="00FB2C28">
              <w:t>3.2. Recognise and respond to acute and delayed adverse reactions to drugs within role of responsibility.</w:t>
            </w:r>
          </w:p>
          <w:p w:rsidR="00000000" w:rsidP="00FB2C28">
            <w:pPr>
              <w:pStyle w:val="List"/>
              <w:rPr>
                <w:lang w:val="en-NZ"/>
              </w:rPr>
            </w:pPr>
            <w:r w:rsidRPr="00FB2C28">
              <w:t>3.3. Accurately record responses.</w:t>
            </w:r>
          </w:p>
        </w:tc>
      </w:tr>
      <w:tr w:rsidTr="00FB2C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0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2C28">
            <w:pPr>
              <w:pStyle w:val="List"/>
              <w:rPr>
                <w:lang w:val="en-NZ"/>
              </w:rPr>
            </w:pPr>
            <w:r w:rsidRPr="00FB2C28">
              <w:t>4.  Store medications.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2C28" w:rsidP="00FB2C28">
            <w:pPr>
              <w:pStyle w:val="List"/>
            </w:pPr>
            <w:r w:rsidRPr="00FB2C28">
              <w:t>4.1. Secure, restock and store medications according to law and health care environmental policy.</w:t>
            </w:r>
          </w:p>
          <w:p w:rsidR="00000000" w:rsidRPr="00FB2C28" w:rsidP="00FB2C28">
            <w:pPr>
              <w:pStyle w:val="List"/>
            </w:pPr>
            <w:r w:rsidRPr="00FB2C28">
              <w:t xml:space="preserve">4.2. Identify and dispose of date expired medications. </w:t>
            </w:r>
          </w:p>
          <w:p w:rsidR="00000000" w:rsidP="00FB2C28">
            <w:pPr>
              <w:pStyle w:val="List"/>
              <w:rPr>
                <w:lang w:val="en-NZ"/>
              </w:rPr>
            </w:pPr>
            <w:r w:rsidRPr="00FB2C28">
              <w:t>4.3. Complete accurate drug documentation.</w:t>
            </w:r>
          </w:p>
        </w:tc>
      </w:tr>
      <w:tr w:rsidTr="00FB2C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2C28">
            <w:pPr>
              <w:pStyle w:val="List"/>
              <w:rPr>
                <w:lang w:val="en-NZ"/>
              </w:rPr>
            </w:pPr>
            <w:r w:rsidRPr="00FB2C28">
              <w:t>5.  Prepare for and administer intravascular fluid, blood or blood products.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2C28" w:rsidP="00FB2C28">
            <w:pPr>
              <w:pStyle w:val="List"/>
            </w:pPr>
            <w:r w:rsidRPr="00FB2C28">
              <w:t xml:space="preserve">5.1. Access and select intravascular solution, blood or blood product according to prescription. </w:t>
            </w:r>
          </w:p>
          <w:p w:rsidR="00000000" w:rsidRPr="00FB2C28" w:rsidP="00FB2C28">
            <w:pPr>
              <w:pStyle w:val="List"/>
            </w:pPr>
            <w:r w:rsidRPr="00FB2C28">
              <w:t>5.2. Confirm selected solution is fit for use.</w:t>
            </w:r>
          </w:p>
          <w:p w:rsidR="00000000" w:rsidRPr="00FB2C28" w:rsidP="00FB2C28">
            <w:pPr>
              <w:pStyle w:val="List"/>
            </w:pPr>
            <w:r w:rsidRPr="00FB2C28">
              <w:t>5.3. Select infusion set, connecto</w:t>
            </w:r>
            <w:r w:rsidRPr="00FB2C28">
              <w:t>rs or filters.</w:t>
            </w:r>
          </w:p>
          <w:p w:rsidR="00000000" w:rsidRPr="00FB2C28" w:rsidP="00FB2C28">
            <w:pPr>
              <w:pStyle w:val="List"/>
            </w:pPr>
            <w:r w:rsidRPr="00FB2C28">
              <w:t xml:space="preserve">5.4. Assemble equipment and materials and prime in an aseptic manner ready for use. </w:t>
            </w:r>
          </w:p>
          <w:p w:rsidR="00000000" w:rsidRPr="00FB2C28" w:rsidP="00FB2C28">
            <w:pPr>
              <w:pStyle w:val="List"/>
            </w:pPr>
            <w:r w:rsidRPr="00FB2C28">
              <w:t>5.5. Program equipment according to prescription and confirm patient identity with another authorised person.</w:t>
            </w:r>
          </w:p>
          <w:p w:rsidR="00000000" w:rsidRPr="00FB2C28" w:rsidP="00FB2C28">
            <w:pPr>
              <w:pStyle w:val="List"/>
            </w:pPr>
            <w:r w:rsidRPr="00FB2C28">
              <w:t>5.6. Perform blood product checking procedure.</w:t>
            </w:r>
          </w:p>
          <w:p w:rsidR="00000000" w:rsidRPr="00FB2C28" w:rsidP="00FB2C28">
            <w:pPr>
              <w:pStyle w:val="List"/>
            </w:pPr>
            <w:r w:rsidRPr="00FB2C28">
              <w:t xml:space="preserve">5.7. Administer and monitor infusion and infusion site. </w:t>
            </w:r>
          </w:p>
          <w:p w:rsidR="00000000" w:rsidRPr="00FB2C28" w:rsidP="00FB2C28">
            <w:pPr>
              <w:pStyle w:val="List"/>
            </w:pPr>
            <w:r w:rsidRPr="00FB2C28">
              <w:t>5.8. Store infusion equipment and solutions correctly, in accordance with organisational policies and procedures.</w:t>
            </w:r>
          </w:p>
        </w:tc>
      </w:tr>
    </w:tbl>
    <w:p w:rsidR="00AC4C76" w:rsidP="00FB2C28">
      <w:pPr>
        <w:pStyle w:val="List"/>
      </w:pPr>
    </w:p>
    <w:p w:rsidR="00AC4C76" w:rsidP="00FB2C28">
      <w:pPr>
        <w:pStyle w:val="List"/>
      </w:pPr>
    </w:p>
    <w:p w:rsidR="00000000" w:rsidRPr="00FB2C28" w:rsidP="00FB2C28">
      <w:pPr>
        <w:pStyle w:val="Heading1"/>
      </w:pPr>
      <w:bookmarkStart w:id="7" w:name="O_1199010"/>
      <w:bookmarkEnd w:id="7"/>
      <w:r w:rsidRPr="00FB2C28">
        <w:t>Foundation Skills</w:t>
      </w:r>
    </w:p>
    <w:p w:rsidR="00000000" w:rsidRPr="00FB2C28" w:rsidP="00AC4C76">
      <w:pPr>
        <w:pStyle w:val="BodyText"/>
      </w:pPr>
      <w:r w:rsidRPr="00FB2C28">
        <w:t>Foundation skills essential to performance are explicit in the performance criteria of this unit of competency.</w:t>
      </w:r>
    </w:p>
    <w:p w:rsidR="00000000" w:rsidRPr="00FB2C28" w:rsidP="00FB2C28">
      <w:pPr>
        <w:pStyle w:val="Heading1"/>
      </w:pPr>
      <w:bookmarkStart w:id="8" w:name="O_1199012"/>
      <w:bookmarkEnd w:id="8"/>
      <w:r w:rsidRPr="00FB2C28">
        <w:t>Unit Mapping Information</w:t>
      </w:r>
    </w:p>
    <w:p w:rsidR="00000000" w:rsidRPr="00FB2C28" w:rsidP="00AC4C76">
      <w:pPr>
        <w:pStyle w:val="BodyText"/>
      </w:pPr>
      <w:r w:rsidRPr="00FB2C28">
        <w:t>Supersedes and is not equivalent to HLTANA007 Monitor medications in the anaesthetic environment.</w:t>
      </w:r>
    </w:p>
    <w:p w:rsidR="00000000" w:rsidRPr="00FB2C28" w:rsidP="00FB2C28">
      <w:pPr>
        <w:pStyle w:val="Heading1"/>
      </w:pPr>
      <w:bookmarkStart w:id="9" w:name="O_1199019"/>
      <w:bookmarkEnd w:id="9"/>
      <w:r w:rsidRPr="00FB2C28">
        <w:t>Links</w:t>
      </w:r>
    </w:p>
    <w:p w:rsidR="00000000" w:rsidRPr="00FB2C28" w:rsidP="00AC4C76">
      <w:pPr>
        <w:pStyle w:val="BodyText"/>
      </w:pPr>
      <w:r w:rsidRPr="00FB2C2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9168EC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FB2C28" w:rsidP="00AC4C76">
      <w:pPr>
        <w:pStyle w:val="BodyText"/>
        <w:sectPr w:rsidSect="00FB2C2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B2C28" w:rsidP="00FB2C28">
      <w:pPr>
        <w:pStyle w:val="SuperHeading"/>
      </w:pPr>
      <w:r w:rsidRPr="00FB2C28">
        <w:t>Assessment Requirements for HLTANA014 Mo</w:t>
      </w:r>
      <w:r w:rsidRPr="00FB2C28">
        <w:t>nitor medications in the anaesthetic environment</w:t>
      </w:r>
    </w:p>
    <w:p w:rsidR="00000000" w:rsidRPr="00FB2C28" w:rsidP="00FB2C28">
      <w:pPr>
        <w:pStyle w:val="Heading1"/>
      </w:pPr>
      <w:bookmarkStart w:id="10" w:name="O_1199014"/>
      <w:bookmarkEnd w:id="10"/>
      <w:r w:rsidRPr="00FB2C28">
        <w:t>Modification History</w:t>
      </w:r>
    </w:p>
    <w:p w:rsidR="00000000" w:rsidRPr="00FB2C28" w:rsidP="00AC4C76">
      <w:pPr>
        <w:pStyle w:val="BodyText"/>
      </w:pPr>
      <w:r w:rsidRPr="00FB2C28">
        <w:t>Supersedes and is not equivalent to HLTANA007 Monitor medications in the anaesthetic environment.</w:t>
      </w:r>
    </w:p>
    <w:p w:rsidR="00000000" w:rsidRPr="00FB2C28" w:rsidP="00FB2C28">
      <w:pPr>
        <w:pStyle w:val="Heading1"/>
      </w:pPr>
      <w:bookmarkStart w:id="11" w:name="O_1199015"/>
      <w:bookmarkEnd w:id="11"/>
      <w:r w:rsidRPr="00FB2C28">
        <w:t>Performance Evidence</w:t>
      </w:r>
    </w:p>
    <w:p w:rsidR="00000000" w:rsidRPr="00FB2C28" w:rsidP="00AC4C76">
      <w:pPr>
        <w:pStyle w:val="BodyText"/>
      </w:pPr>
      <w:r w:rsidRPr="00FB2C28">
        <w:t>Evidence of the ability to complete tasks outlined in elements and performance criteria of this unit in the context of the job role, and:</w:t>
      </w:r>
    </w:p>
    <w:p w:rsidR="00000000" w:rsidRPr="00FB2C28" w:rsidP="00FB2C28">
      <w:pPr>
        <w:pStyle w:val="ListBullet"/>
      </w:pPr>
      <w:r w:rsidRPr="00FB2C28">
        <w:t>access, prepare and monitor medications, fluids, blood and blood products in accordance with legislation and the orga</w:t>
      </w:r>
      <w:r w:rsidRPr="00FB2C28">
        <w:t>nisation’s medication and delegation policies and practice under the supervision of a health professional on at least 10 different occasions</w:t>
      </w:r>
    </w:p>
    <w:p w:rsidR="00000000" w:rsidRPr="00FB2C28" w:rsidP="00FB2C28">
      <w:pPr>
        <w:pStyle w:val="ListBullet"/>
      </w:pPr>
      <w:r w:rsidRPr="00FB2C28">
        <w:t>administer crystalloids, colloids, blood and blood products</w:t>
      </w:r>
    </w:p>
    <w:p w:rsidR="00000000" w:rsidRPr="00FB2C28" w:rsidP="00FB2C28">
      <w:pPr>
        <w:pStyle w:val="ListBullet"/>
      </w:pPr>
      <w:r w:rsidRPr="00FB2C28">
        <w:t>program infusion devices at least twice</w:t>
      </w:r>
    </w:p>
    <w:p w:rsidR="00000000" w:rsidRPr="00FB2C28" w:rsidP="00FB2C28">
      <w:pPr>
        <w:pStyle w:val="ListBullet"/>
      </w:pPr>
      <w:r w:rsidRPr="00FB2C28">
        <w:t>set up rapid infusion device at least twice</w:t>
      </w:r>
    </w:p>
    <w:p w:rsidR="00000000" w:rsidRPr="00FB2C28" w:rsidP="00FB2C28">
      <w:pPr>
        <w:pStyle w:val="ListBullet"/>
      </w:pPr>
      <w:r w:rsidRPr="00FB2C28">
        <w:t>prepare drugs for administration via each of the following routes at least twice:</w:t>
      </w:r>
    </w:p>
    <w:p w:rsidR="00000000" w:rsidRPr="00FB2C28" w:rsidP="00FB2C28">
      <w:pPr>
        <w:pStyle w:val="ListBullet2"/>
      </w:pPr>
      <w:r w:rsidRPr="00FB2C28">
        <w:t xml:space="preserve">inhalational </w:t>
      </w:r>
    </w:p>
    <w:p w:rsidR="00000000" w:rsidRPr="00FB2C28" w:rsidP="00FB2C28">
      <w:pPr>
        <w:pStyle w:val="ListBullet2"/>
      </w:pPr>
      <w:r w:rsidRPr="00FB2C28">
        <w:t xml:space="preserve">intravenous </w:t>
      </w:r>
    </w:p>
    <w:p w:rsidR="00000000" w:rsidRPr="00FB2C28" w:rsidP="00FB2C28">
      <w:pPr>
        <w:pStyle w:val="ListBullet2"/>
      </w:pPr>
      <w:r w:rsidRPr="00FB2C28">
        <w:t>intramuscular</w:t>
      </w:r>
    </w:p>
    <w:p w:rsidR="00000000" w:rsidRPr="00FB2C28" w:rsidP="00FB2C28">
      <w:pPr>
        <w:pStyle w:val="ListBullet2"/>
      </w:pPr>
      <w:r w:rsidRPr="00FB2C28">
        <w:t>oral</w:t>
      </w:r>
    </w:p>
    <w:p w:rsidR="00000000" w:rsidRPr="00FB2C28" w:rsidP="00FB2C28">
      <w:pPr>
        <w:pStyle w:val="ListBullet2"/>
      </w:pPr>
      <w:r w:rsidRPr="00FB2C28">
        <w:t>subcutaneous</w:t>
      </w:r>
    </w:p>
    <w:p w:rsidR="00000000" w:rsidRPr="00FB2C28" w:rsidP="00FB2C28">
      <w:pPr>
        <w:pStyle w:val="ListBullet2"/>
      </w:pPr>
      <w:r w:rsidRPr="00FB2C28">
        <w:t>topical</w:t>
      </w:r>
    </w:p>
    <w:p w:rsidR="00000000" w:rsidRPr="00FB2C28" w:rsidP="00FB2C28">
      <w:pPr>
        <w:pStyle w:val="ListBullet"/>
      </w:pPr>
      <w:r w:rsidRPr="00FB2C28">
        <w:t>perform the activities outlined in the performance criteria o</w:t>
      </w:r>
      <w:r w:rsidRPr="00FB2C28">
        <w:t>f this unit during a period of at least 360 hours of work related to anaesthetic technology in a clinical workplace environment. These 360 hours may be applied collectively across all units of competency that include the requirement for workplace hours for</w:t>
      </w:r>
      <w:r w:rsidRPr="00FB2C28">
        <w:t xml:space="preserve"> the purposes of assessment.</w:t>
      </w:r>
    </w:p>
    <w:p w:rsidR="00000000" w:rsidRPr="00FB2C28" w:rsidP="00FB2C28">
      <w:pPr>
        <w:pStyle w:val="AllowPageBreak"/>
      </w:pPr>
    </w:p>
    <w:p w:rsidR="00000000" w:rsidRPr="00FB2C28" w:rsidP="00FB2C28">
      <w:pPr>
        <w:pStyle w:val="Heading1"/>
      </w:pPr>
      <w:bookmarkStart w:id="12" w:name="O_1199016"/>
      <w:bookmarkEnd w:id="12"/>
      <w:r w:rsidRPr="00FB2C28">
        <w:t>Knowledge Evidence</w:t>
      </w:r>
    </w:p>
    <w:p w:rsidR="00000000" w:rsidRPr="00FB2C28" w:rsidP="00AC4C76">
      <w:pPr>
        <w:pStyle w:val="BodyText"/>
      </w:pPr>
      <w:r w:rsidRPr="00FB2C28">
        <w:t>Demonstrated knowledge required to complete the tasks outlined in elements and performance criteria of this unit:</w:t>
      </w:r>
    </w:p>
    <w:p w:rsidR="00000000" w:rsidRPr="00FB2C28" w:rsidP="00FB2C28">
      <w:pPr>
        <w:pStyle w:val="ListBullet"/>
      </w:pPr>
      <w:r w:rsidRPr="00FB2C28">
        <w:t>national, state or territory legal and ethical considerations  for the handling and administration of medications, and how these are applied in organisations:</w:t>
      </w:r>
    </w:p>
    <w:p w:rsidR="00000000" w:rsidRPr="00FB2C28" w:rsidP="00FB2C28">
      <w:pPr>
        <w:pStyle w:val="ListBullet2"/>
      </w:pPr>
      <w:r w:rsidRPr="00FB2C28">
        <w:t>approved drug and fluid abbreviations</w:t>
      </w:r>
    </w:p>
    <w:p w:rsidR="00000000" w:rsidRPr="00FB2C28" w:rsidP="00FB2C28">
      <w:pPr>
        <w:pStyle w:val="ListBullet2"/>
      </w:pPr>
      <w:r w:rsidRPr="00FB2C28">
        <w:t>Australian and New Zealand scheduling for drugs and poison</w:t>
      </w:r>
      <w:r w:rsidRPr="00FB2C28">
        <w:t>s</w:t>
      </w:r>
    </w:p>
    <w:p w:rsidR="00000000" w:rsidRPr="00FB2C28" w:rsidP="00FB2C28">
      <w:pPr>
        <w:pStyle w:val="ListBullet2"/>
      </w:pPr>
      <w:r w:rsidRPr="00FB2C28">
        <w:t>Australian and New Zealand Society of Blood Transfusion guidelines (ANZSBT)</w:t>
      </w:r>
    </w:p>
    <w:p w:rsidR="00000000" w:rsidRPr="00FB2C28" w:rsidP="00FB2C28">
      <w:pPr>
        <w:pStyle w:val="ListBullet2"/>
      </w:pPr>
      <w:r w:rsidRPr="00FB2C28">
        <w:t>codes of practice</w:t>
      </w:r>
    </w:p>
    <w:p w:rsidR="00000000" w:rsidRPr="00FB2C28" w:rsidP="00FB2C28">
      <w:pPr>
        <w:pStyle w:val="ListBullet2"/>
      </w:pPr>
      <w:r w:rsidRPr="00FB2C28">
        <w:t>records management requirements</w:t>
      </w:r>
    </w:p>
    <w:p w:rsidR="00000000" w:rsidRPr="00FB2C28" w:rsidP="00FB2C28">
      <w:pPr>
        <w:pStyle w:val="ListBullet2"/>
      </w:pPr>
      <w:r w:rsidRPr="00FB2C28">
        <w:t>storage</w:t>
      </w:r>
    </w:p>
    <w:p w:rsidR="00000000" w:rsidRPr="00FB2C28" w:rsidP="00FB2C28">
      <w:pPr>
        <w:pStyle w:val="ListBullet2"/>
      </w:pPr>
      <w:r w:rsidRPr="00FB2C28">
        <w:t>work role boundaries including responsibilities and limitations</w:t>
      </w:r>
    </w:p>
    <w:p w:rsidR="00000000" w:rsidRPr="00FB2C28" w:rsidP="00FB2C28">
      <w:pPr>
        <w:pStyle w:val="ListBullet2"/>
      </w:pPr>
      <w:r w:rsidRPr="00FB2C28">
        <w:t>rights and responsibilities of workers, employers and pa</w:t>
      </w:r>
      <w:r w:rsidRPr="00FB2C28">
        <w:t>tients</w:t>
      </w:r>
    </w:p>
    <w:p w:rsidR="00000000" w:rsidRPr="00FB2C28" w:rsidP="00FB2C28">
      <w:pPr>
        <w:pStyle w:val="ListBullet2"/>
      </w:pPr>
      <w:r w:rsidRPr="00FB2C28">
        <w:t>work health and safety (WHS)</w:t>
      </w:r>
    </w:p>
    <w:p w:rsidR="00000000" w:rsidRPr="00FB2C28" w:rsidP="00FB2C28">
      <w:pPr>
        <w:pStyle w:val="ListBullet"/>
      </w:pPr>
      <w:r w:rsidRPr="00FB2C28">
        <w:t>pharmacology for drugs commonly used in anaesthesia, including:</w:t>
      </w:r>
    </w:p>
    <w:p w:rsidR="00000000" w:rsidRPr="00FB2C28" w:rsidP="00FB2C28">
      <w:pPr>
        <w:pStyle w:val="ListBullet2"/>
      </w:pPr>
      <w:r w:rsidRPr="00FB2C28">
        <w:t>sources of drugs:</w:t>
      </w:r>
    </w:p>
    <w:p w:rsidR="00000000" w:rsidRPr="00FB2C28" w:rsidP="00FB2C28">
      <w:pPr>
        <w:pStyle w:val="ListBullet3"/>
      </w:pPr>
      <w:r w:rsidRPr="00FB2C28">
        <w:t>natural</w:t>
      </w:r>
    </w:p>
    <w:p w:rsidR="00000000" w:rsidRPr="00FB2C28" w:rsidP="00FB2C28">
      <w:pPr>
        <w:pStyle w:val="ListBullet3"/>
      </w:pPr>
      <w:r w:rsidRPr="00FB2C28">
        <w:t>endorphins</w:t>
      </w:r>
    </w:p>
    <w:p w:rsidR="00000000" w:rsidRPr="00FB2C28" w:rsidP="00FB2C28">
      <w:pPr>
        <w:pStyle w:val="ListBullet3"/>
      </w:pPr>
      <w:r w:rsidRPr="00FB2C28">
        <w:t>synthetic</w:t>
      </w:r>
    </w:p>
    <w:p w:rsidR="00000000" w:rsidRPr="00FB2C28" w:rsidP="00FB2C28">
      <w:pPr>
        <w:pStyle w:val="ListBullet2"/>
      </w:pPr>
      <w:r w:rsidRPr="00FB2C28">
        <w:t xml:space="preserve">drug nomenclature: </w:t>
      </w:r>
    </w:p>
    <w:p w:rsidR="00000000" w:rsidRPr="00FB2C28" w:rsidP="00FB2C28">
      <w:pPr>
        <w:pStyle w:val="ListBullet3"/>
      </w:pPr>
      <w:r w:rsidRPr="00FB2C28">
        <w:t>chemical</w:t>
      </w:r>
    </w:p>
    <w:p w:rsidR="00000000" w:rsidRPr="00FB2C28" w:rsidP="00FB2C28">
      <w:pPr>
        <w:pStyle w:val="ListBullet3"/>
      </w:pPr>
      <w:r w:rsidRPr="00FB2C28">
        <w:t>generic</w:t>
      </w:r>
    </w:p>
    <w:p w:rsidR="00000000" w:rsidRPr="00FB2C28" w:rsidP="00FB2C28">
      <w:pPr>
        <w:pStyle w:val="ListBullet3"/>
      </w:pPr>
      <w:r w:rsidRPr="00FB2C28">
        <w:t>brand names</w:t>
      </w:r>
    </w:p>
    <w:p w:rsidR="00000000" w:rsidRPr="00FB2C28" w:rsidP="00FB2C28">
      <w:pPr>
        <w:pStyle w:val="ListBullet2"/>
      </w:pPr>
      <w:r w:rsidRPr="00FB2C28">
        <w:t>drug classifications</w:t>
      </w:r>
    </w:p>
    <w:p w:rsidR="00000000" w:rsidRPr="00FB2C28" w:rsidP="00FB2C28">
      <w:pPr>
        <w:pStyle w:val="ListBullet2"/>
      </w:pPr>
      <w:r w:rsidRPr="00FB2C28">
        <w:t>common abbreviations</w:t>
      </w:r>
    </w:p>
    <w:p w:rsidR="00000000" w:rsidRPr="00FB2C28" w:rsidP="00FB2C28">
      <w:pPr>
        <w:pStyle w:val="ListBullet2"/>
      </w:pPr>
      <w:r w:rsidRPr="00FB2C28">
        <w:t>pharmacodynamics including drug receptor interactions, dose-response relationships, therapeutic index</w:t>
      </w:r>
    </w:p>
    <w:p w:rsidR="00000000" w:rsidRPr="00FB2C28" w:rsidP="00FB2C28">
      <w:pPr>
        <w:pStyle w:val="ListBullet2"/>
      </w:pPr>
      <w:r w:rsidRPr="00FB2C28">
        <w:t>pharmacokinetics (ADME) absorption, distribution, metabolism, excretion</w:t>
      </w:r>
    </w:p>
    <w:p w:rsidR="00000000" w:rsidRPr="00FB2C28" w:rsidP="00FB2C28">
      <w:pPr>
        <w:pStyle w:val="ListBullet2"/>
      </w:pPr>
      <w:r w:rsidRPr="00FB2C28">
        <w:t>pharmacotherapeutics</w:t>
      </w:r>
    </w:p>
    <w:p w:rsidR="00000000" w:rsidRPr="00FB2C28" w:rsidP="00FB2C28">
      <w:pPr>
        <w:pStyle w:val="ListBullet2"/>
      </w:pPr>
      <w:r w:rsidRPr="00FB2C28">
        <w:t>adverse drug reactions and interactions</w:t>
      </w:r>
    </w:p>
    <w:p w:rsidR="00000000" w:rsidRPr="00FB2C28" w:rsidP="00FB2C28">
      <w:pPr>
        <w:pStyle w:val="ListBullet2"/>
      </w:pPr>
      <w:r w:rsidRPr="00FB2C28">
        <w:t>toxicity or toxicolog</w:t>
      </w:r>
      <w:r w:rsidRPr="00FB2C28">
        <w:t xml:space="preserve">y </w:t>
      </w:r>
    </w:p>
    <w:p w:rsidR="00000000" w:rsidRPr="00FB2C28" w:rsidP="00FB2C28">
      <w:pPr>
        <w:pStyle w:val="ListBullet"/>
      </w:pPr>
      <w:r w:rsidRPr="00FB2C28">
        <w:t>drug administration routes:</w:t>
      </w:r>
    </w:p>
    <w:p w:rsidR="00000000" w:rsidRPr="00FB2C28" w:rsidP="00FB2C28">
      <w:pPr>
        <w:pStyle w:val="ListBullet2"/>
      </w:pPr>
      <w:r w:rsidRPr="00FB2C28">
        <w:t>enteral medication including endotracheal, sublingual, buccal, rectal, vaginal, urethral</w:t>
      </w:r>
    </w:p>
    <w:p w:rsidR="00000000" w:rsidRPr="00FB2C28" w:rsidP="00FB2C28">
      <w:pPr>
        <w:pStyle w:val="ListBullet2"/>
      </w:pPr>
      <w:r w:rsidRPr="00FB2C28">
        <w:t>parenteral medication including intravenous, intramuscular, intraosseous, intracardiac, intraarticular, intrauterine, intrathecal, subcutaneous, intra-arterial, inhalational</w:t>
      </w:r>
    </w:p>
    <w:p w:rsidR="00000000" w:rsidRPr="00FB2C28" w:rsidP="00FB2C28">
      <w:pPr>
        <w:pStyle w:val="ListBullet2"/>
      </w:pPr>
      <w:r w:rsidRPr="00FB2C28">
        <w:t>topical medication including subcutaneous, trans nasal, transdermal, ocular, inhal</w:t>
      </w:r>
      <w:r w:rsidRPr="00FB2C28">
        <w:t>ational, aural</w:t>
      </w:r>
    </w:p>
    <w:p w:rsidR="00000000" w:rsidRPr="00FB2C28" w:rsidP="00FB2C28">
      <w:pPr>
        <w:pStyle w:val="ListBullet"/>
      </w:pPr>
      <w:r w:rsidRPr="00FB2C28">
        <w:t>formulations, including</w:t>
      </w:r>
    </w:p>
    <w:p w:rsidR="00000000" w:rsidRPr="00FB2C28" w:rsidP="00FB2C28">
      <w:pPr>
        <w:pStyle w:val="ListBullet2"/>
      </w:pPr>
      <w:r w:rsidRPr="00FB2C28">
        <w:t>wafers</w:t>
      </w:r>
    </w:p>
    <w:p w:rsidR="00000000" w:rsidRPr="00FB2C28" w:rsidP="00FB2C28">
      <w:pPr>
        <w:pStyle w:val="ListBullet2"/>
      </w:pPr>
      <w:r w:rsidRPr="00FB2C28">
        <w:t>tablets</w:t>
      </w:r>
    </w:p>
    <w:p w:rsidR="00000000" w:rsidRPr="00FB2C28" w:rsidP="00FB2C28">
      <w:pPr>
        <w:pStyle w:val="ListBullet2"/>
      </w:pPr>
      <w:r w:rsidRPr="00FB2C28">
        <w:t>lozenges</w:t>
      </w:r>
    </w:p>
    <w:p w:rsidR="00000000" w:rsidRPr="00FB2C28" w:rsidP="00FB2C28">
      <w:pPr>
        <w:pStyle w:val="ListBullet2"/>
      </w:pPr>
      <w:r w:rsidRPr="00FB2C28">
        <w:t>capsules</w:t>
      </w:r>
    </w:p>
    <w:p w:rsidR="00000000" w:rsidRPr="00FB2C28" w:rsidP="00FB2C28">
      <w:pPr>
        <w:pStyle w:val="ListBullet2"/>
      </w:pPr>
      <w:r w:rsidRPr="00FB2C28">
        <w:t>elixir</w:t>
      </w:r>
    </w:p>
    <w:p w:rsidR="00000000" w:rsidRPr="00FB2C28" w:rsidP="00FB2C28">
      <w:pPr>
        <w:pStyle w:val="ListBullet2"/>
      </w:pPr>
      <w:r w:rsidRPr="00FB2C28">
        <w:t>suspension</w:t>
      </w:r>
    </w:p>
    <w:p w:rsidR="00000000" w:rsidRPr="00FB2C28" w:rsidP="00FB2C28">
      <w:pPr>
        <w:pStyle w:val="ListBullet2"/>
      </w:pPr>
      <w:r w:rsidRPr="00FB2C28">
        <w:t>solutions</w:t>
      </w:r>
    </w:p>
    <w:p w:rsidR="00000000" w:rsidRPr="00FB2C28" w:rsidP="00FB2C28">
      <w:pPr>
        <w:pStyle w:val="ListBullet2"/>
      </w:pPr>
      <w:r w:rsidRPr="00FB2C28">
        <w:t>creams</w:t>
      </w:r>
    </w:p>
    <w:p w:rsidR="00000000" w:rsidRPr="00FB2C28" w:rsidP="00FB2C28">
      <w:pPr>
        <w:pStyle w:val="ListBullet2"/>
      </w:pPr>
      <w:r w:rsidRPr="00FB2C28">
        <w:t>powders</w:t>
      </w:r>
    </w:p>
    <w:p w:rsidR="00000000" w:rsidRPr="00FB2C28" w:rsidP="00FB2C28">
      <w:pPr>
        <w:pStyle w:val="ListBullet"/>
      </w:pPr>
      <w:r w:rsidRPr="00FB2C28">
        <w:t xml:space="preserve">major drug groups used in anaesthesia in terms of: </w:t>
      </w:r>
    </w:p>
    <w:p w:rsidR="00000000" w:rsidRPr="00FB2C28" w:rsidP="00FB2C28">
      <w:pPr>
        <w:pStyle w:val="ListBullet2"/>
      </w:pPr>
      <w:r w:rsidRPr="00FB2C28">
        <w:t xml:space="preserve">presentation </w:t>
      </w:r>
    </w:p>
    <w:p w:rsidR="00000000" w:rsidRPr="00FB2C28" w:rsidP="00FB2C28">
      <w:pPr>
        <w:pStyle w:val="ListBullet2"/>
      </w:pPr>
      <w:r w:rsidRPr="00FB2C28">
        <w:t>formulation</w:t>
      </w:r>
    </w:p>
    <w:p w:rsidR="00000000" w:rsidRPr="00FB2C28" w:rsidP="00FB2C28">
      <w:pPr>
        <w:pStyle w:val="ListBullet2"/>
      </w:pPr>
      <w:r w:rsidRPr="00FB2C28">
        <w:t>indication</w:t>
      </w:r>
    </w:p>
    <w:p w:rsidR="00000000" w:rsidRPr="00FB2C28" w:rsidP="00FB2C28">
      <w:pPr>
        <w:pStyle w:val="ListBullet2"/>
      </w:pPr>
      <w:r w:rsidRPr="00FB2C28">
        <w:t>mode of action</w:t>
      </w:r>
    </w:p>
    <w:p w:rsidR="00000000" w:rsidRPr="00FB2C28" w:rsidP="00FB2C28">
      <w:pPr>
        <w:pStyle w:val="ListBullet2"/>
      </w:pPr>
      <w:r w:rsidRPr="00FB2C28">
        <w:t>system of delivery and administration routes</w:t>
      </w:r>
    </w:p>
    <w:p w:rsidR="00000000" w:rsidRPr="00FB2C28" w:rsidP="00FB2C28">
      <w:pPr>
        <w:pStyle w:val="ListBullet2"/>
      </w:pPr>
      <w:r w:rsidRPr="00FB2C28">
        <w:t>precautions</w:t>
      </w:r>
    </w:p>
    <w:p w:rsidR="00000000" w:rsidRPr="00FB2C28" w:rsidP="00FB2C28">
      <w:pPr>
        <w:pStyle w:val="ListBullet2"/>
      </w:pPr>
      <w:r w:rsidRPr="00FB2C28">
        <w:t>side effects</w:t>
      </w:r>
    </w:p>
    <w:p w:rsidR="00000000" w:rsidRPr="00FB2C28" w:rsidP="00FB2C28">
      <w:pPr>
        <w:pStyle w:val="ListBullet2"/>
      </w:pPr>
      <w:r w:rsidRPr="00FB2C28">
        <w:t>contraindications and adverse reactions</w:t>
      </w:r>
    </w:p>
    <w:p w:rsidR="00000000" w:rsidRPr="00FB2C28" w:rsidP="00FB2C28">
      <w:pPr>
        <w:pStyle w:val="ListBullet2"/>
      </w:pPr>
      <w:r w:rsidRPr="00FB2C28">
        <w:t>storage requirements</w:t>
      </w:r>
    </w:p>
    <w:p w:rsidR="00000000" w:rsidRPr="00FB2C28" w:rsidP="00FB2C28">
      <w:pPr>
        <w:pStyle w:val="ListBullet"/>
      </w:pPr>
      <w:r w:rsidRPr="00FB2C28">
        <w:t>factors influencing drug actions, storage dosage variations for different types of patients for all of the following:</w:t>
      </w:r>
    </w:p>
    <w:p w:rsidR="00000000" w:rsidRPr="00FB2C28" w:rsidP="00FB2C28">
      <w:pPr>
        <w:pStyle w:val="ListBullet2"/>
      </w:pPr>
      <w:r w:rsidRPr="00FB2C28">
        <w:t>inhal</w:t>
      </w:r>
      <w:r w:rsidRPr="00FB2C28">
        <w:t>ational induction agents</w:t>
      </w:r>
    </w:p>
    <w:p w:rsidR="00000000" w:rsidRPr="00FB2C28" w:rsidP="00FB2C28">
      <w:pPr>
        <w:pStyle w:val="ListBullet2"/>
      </w:pPr>
      <w:r w:rsidRPr="00FB2C28">
        <w:t>intravenous induction agents</w:t>
      </w:r>
    </w:p>
    <w:p w:rsidR="00000000" w:rsidRPr="00FB2C28" w:rsidP="00FB2C28">
      <w:pPr>
        <w:pStyle w:val="ListBullet2"/>
      </w:pPr>
      <w:r w:rsidRPr="00FB2C28">
        <w:t>analgesics</w:t>
      </w:r>
    </w:p>
    <w:p w:rsidR="00000000" w:rsidRPr="00FB2C28" w:rsidP="00FB2C28">
      <w:pPr>
        <w:pStyle w:val="ListBullet2"/>
      </w:pPr>
      <w:r w:rsidRPr="00FB2C28">
        <w:t>non-steroidal anti-inflammatory drugs (NSAID)</w:t>
      </w:r>
    </w:p>
    <w:p w:rsidR="00000000" w:rsidRPr="00FB2C28" w:rsidP="00FB2C28">
      <w:pPr>
        <w:pStyle w:val="ListBullet2"/>
      </w:pPr>
      <w:r w:rsidRPr="00FB2C28">
        <w:t>anti-emetics</w:t>
      </w:r>
    </w:p>
    <w:p w:rsidR="00000000" w:rsidRPr="00FB2C28" w:rsidP="00FB2C28">
      <w:pPr>
        <w:pStyle w:val="ListBullet2"/>
      </w:pPr>
      <w:r w:rsidRPr="00FB2C28">
        <w:t>muscle relaxants</w:t>
      </w:r>
    </w:p>
    <w:p w:rsidR="00000000" w:rsidRPr="00FB2C28" w:rsidP="00FB2C28">
      <w:pPr>
        <w:pStyle w:val="ListBullet2"/>
      </w:pPr>
      <w:r w:rsidRPr="00FB2C28">
        <w:t>respiratory medications</w:t>
      </w:r>
    </w:p>
    <w:p w:rsidR="00000000" w:rsidRPr="00FB2C28" w:rsidP="00FB2C28">
      <w:pPr>
        <w:pStyle w:val="ListBullet2"/>
      </w:pPr>
      <w:r w:rsidRPr="00FB2C28">
        <w:t>anticoagulants</w:t>
      </w:r>
    </w:p>
    <w:p w:rsidR="00000000" w:rsidRPr="00FB2C28" w:rsidP="00FB2C28">
      <w:pPr>
        <w:pStyle w:val="ListBullet2"/>
      </w:pPr>
      <w:r w:rsidRPr="00FB2C28">
        <w:t>local anaesthetics including:</w:t>
      </w:r>
    </w:p>
    <w:p w:rsidR="00000000" w:rsidRPr="00FB2C28" w:rsidP="00FB2C28">
      <w:pPr>
        <w:pStyle w:val="ListBullet3"/>
      </w:pPr>
      <w:r w:rsidRPr="00FB2C28">
        <w:t>epidural</w:t>
      </w:r>
    </w:p>
    <w:p w:rsidR="00000000" w:rsidRPr="00FB2C28" w:rsidP="00FB2C28">
      <w:pPr>
        <w:pStyle w:val="ListBullet3"/>
      </w:pPr>
      <w:r w:rsidRPr="00FB2C28">
        <w:t>spinal</w:t>
      </w:r>
    </w:p>
    <w:p w:rsidR="00000000" w:rsidRPr="00FB2C28" w:rsidP="00FB2C28">
      <w:pPr>
        <w:pStyle w:val="ListBullet3"/>
      </w:pPr>
      <w:r w:rsidRPr="00FB2C28">
        <w:t>regional wound catheters</w:t>
      </w:r>
    </w:p>
    <w:p w:rsidR="00000000" w:rsidRPr="00FB2C28" w:rsidP="00FB2C28">
      <w:pPr>
        <w:pStyle w:val="ListBullet2"/>
      </w:pPr>
      <w:r w:rsidRPr="00FB2C28">
        <w:t>antibiotics</w:t>
      </w:r>
    </w:p>
    <w:p w:rsidR="00000000" w:rsidRPr="00FB2C28" w:rsidP="00FB2C28">
      <w:pPr>
        <w:pStyle w:val="ListBullet2"/>
      </w:pPr>
      <w:r w:rsidRPr="00FB2C28">
        <w:t>cardiovascular medication, including diuretics</w:t>
      </w:r>
    </w:p>
    <w:p w:rsidR="00000000" w:rsidRPr="00FB2C28" w:rsidP="00FB2C28">
      <w:pPr>
        <w:pStyle w:val="ListBullet2"/>
      </w:pPr>
      <w:r w:rsidRPr="00FB2C28">
        <w:t>electrolytes</w:t>
      </w:r>
    </w:p>
    <w:p w:rsidR="00000000" w:rsidRPr="00FB2C28" w:rsidP="00FB2C28">
      <w:pPr>
        <w:pStyle w:val="ListBullet2"/>
      </w:pPr>
      <w:r w:rsidRPr="00FB2C28">
        <w:t>sedatives and pre-medication</w:t>
      </w:r>
    </w:p>
    <w:p w:rsidR="00000000" w:rsidRPr="00FB2C28" w:rsidP="00FB2C28">
      <w:pPr>
        <w:pStyle w:val="ListBullet2"/>
      </w:pPr>
      <w:r w:rsidRPr="00FB2C28">
        <w:t>emergency medications</w:t>
      </w:r>
    </w:p>
    <w:p w:rsidR="00000000" w:rsidRPr="00FB2C28" w:rsidP="00FB2C28">
      <w:pPr>
        <w:pStyle w:val="ListBullet"/>
      </w:pPr>
      <w:r w:rsidRPr="00FB2C28">
        <w:t>drugs used in the management of the following conditions which may complicate or co-exist with anaesthesia:</w:t>
      </w:r>
    </w:p>
    <w:p w:rsidR="00000000" w:rsidRPr="00FB2C28" w:rsidP="00FB2C28">
      <w:pPr>
        <w:pStyle w:val="ListBullet2"/>
      </w:pPr>
      <w:r w:rsidRPr="00FB2C28">
        <w:t>adrenal dysfunction</w:t>
      </w:r>
    </w:p>
    <w:p w:rsidR="00000000" w:rsidRPr="00FB2C28" w:rsidP="00FB2C28">
      <w:pPr>
        <w:pStyle w:val="ListBullet2"/>
      </w:pPr>
      <w:r w:rsidRPr="00FB2C28">
        <w:t>anaphylaxis</w:t>
      </w:r>
    </w:p>
    <w:p w:rsidR="00000000" w:rsidRPr="00FB2C28" w:rsidP="00FB2C28">
      <w:pPr>
        <w:pStyle w:val="ListBullet2"/>
      </w:pPr>
      <w:r w:rsidRPr="00FB2C28">
        <w:t>angina</w:t>
      </w:r>
    </w:p>
    <w:p w:rsidR="00000000" w:rsidRPr="00FB2C28" w:rsidP="00FB2C28">
      <w:pPr>
        <w:pStyle w:val="ListBullet2"/>
      </w:pPr>
      <w:r w:rsidRPr="00FB2C28">
        <w:t>bronchospasm</w:t>
      </w:r>
    </w:p>
    <w:p w:rsidR="00000000" w:rsidRPr="00FB2C28" w:rsidP="00FB2C28">
      <w:pPr>
        <w:pStyle w:val="ListBullet2"/>
      </w:pPr>
      <w:r w:rsidRPr="00FB2C28">
        <w:t>cardiac arrest</w:t>
      </w:r>
    </w:p>
    <w:p w:rsidR="00000000" w:rsidRPr="00FB2C28" w:rsidP="00FB2C28">
      <w:pPr>
        <w:pStyle w:val="ListBullet2"/>
      </w:pPr>
      <w:r w:rsidRPr="00FB2C28">
        <w:t>cardiac arrhythmias</w:t>
      </w:r>
    </w:p>
    <w:p w:rsidR="00000000" w:rsidRPr="00FB2C28" w:rsidP="00FB2C28">
      <w:pPr>
        <w:pStyle w:val="ListBullet2"/>
      </w:pPr>
      <w:r w:rsidRPr="00FB2C28">
        <w:t>congestive heart failure</w:t>
      </w:r>
    </w:p>
    <w:p w:rsidR="00000000" w:rsidRPr="00FB2C28" w:rsidP="00FB2C28">
      <w:pPr>
        <w:pStyle w:val="ListBullet2"/>
      </w:pPr>
      <w:r w:rsidRPr="00FB2C28">
        <w:t>coagulopathies</w:t>
      </w:r>
    </w:p>
    <w:p w:rsidR="00000000" w:rsidRPr="00FB2C28" w:rsidP="00FB2C28">
      <w:pPr>
        <w:pStyle w:val="ListBullet2"/>
      </w:pPr>
      <w:r w:rsidRPr="00FB2C28">
        <w:t>deep vein thrombosis</w:t>
      </w:r>
    </w:p>
    <w:p w:rsidR="00000000" w:rsidRPr="00FB2C28" w:rsidP="00FB2C28">
      <w:pPr>
        <w:pStyle w:val="ListBullet2"/>
      </w:pPr>
      <w:r w:rsidRPr="00FB2C28">
        <w:t>endocrine dysfunction</w:t>
      </w:r>
    </w:p>
    <w:p w:rsidR="00000000" w:rsidRPr="00FB2C28" w:rsidP="00FB2C28">
      <w:pPr>
        <w:pStyle w:val="ListBullet2"/>
      </w:pPr>
      <w:r w:rsidRPr="00FB2C28">
        <w:t>hypoglycaemia</w:t>
      </w:r>
    </w:p>
    <w:p w:rsidR="00000000" w:rsidRPr="00FB2C28" w:rsidP="00FB2C28">
      <w:pPr>
        <w:pStyle w:val="ListBullet2"/>
      </w:pPr>
      <w:r w:rsidRPr="00FB2C28">
        <w:t>hypotension</w:t>
      </w:r>
    </w:p>
    <w:p w:rsidR="00000000" w:rsidRPr="00FB2C28" w:rsidP="00FB2C28">
      <w:pPr>
        <w:pStyle w:val="ListBullet2"/>
      </w:pPr>
      <w:r w:rsidRPr="00FB2C28">
        <w:t>hyperglycaemia</w:t>
      </w:r>
    </w:p>
    <w:p w:rsidR="00000000" w:rsidRPr="00FB2C28" w:rsidP="00FB2C28">
      <w:pPr>
        <w:pStyle w:val="ListBullet2"/>
      </w:pPr>
      <w:r w:rsidRPr="00FB2C28">
        <w:t>hypertension</w:t>
      </w:r>
    </w:p>
    <w:p w:rsidR="00000000" w:rsidRPr="00FB2C28" w:rsidP="00FB2C28">
      <w:pPr>
        <w:pStyle w:val="ListBullet2"/>
      </w:pPr>
      <w:r w:rsidRPr="00FB2C28">
        <w:t>pulmonary oedema or embolism</w:t>
      </w:r>
    </w:p>
    <w:p w:rsidR="00000000" w:rsidRPr="00FB2C28" w:rsidP="00FB2C28">
      <w:pPr>
        <w:pStyle w:val="ListBullet2"/>
      </w:pPr>
      <w:r w:rsidRPr="00FB2C28">
        <w:t>raised intracranial or intra-ocular pressure</w:t>
      </w:r>
    </w:p>
    <w:p w:rsidR="00000000" w:rsidRPr="00FB2C28" w:rsidP="00FB2C28">
      <w:pPr>
        <w:pStyle w:val="ListBullet2"/>
      </w:pPr>
      <w:r w:rsidRPr="00FB2C28">
        <w:t>respiratory depression or compromise</w:t>
      </w:r>
    </w:p>
    <w:p w:rsidR="00000000" w:rsidRPr="00FB2C28" w:rsidP="00FB2C28">
      <w:pPr>
        <w:pStyle w:val="ListBullet2"/>
      </w:pPr>
      <w:r w:rsidRPr="00FB2C28">
        <w:t>stroke</w:t>
      </w:r>
    </w:p>
    <w:p w:rsidR="00000000" w:rsidRPr="00FB2C28" w:rsidP="00FB2C28">
      <w:pPr>
        <w:pStyle w:val="ListBullet2"/>
      </w:pPr>
      <w:r w:rsidRPr="00FB2C28">
        <w:t>seizure</w:t>
      </w:r>
    </w:p>
    <w:p w:rsidR="00000000" w:rsidRPr="00FB2C28" w:rsidP="00FB2C28">
      <w:pPr>
        <w:pStyle w:val="ListBullet2"/>
      </w:pPr>
      <w:r w:rsidRPr="00FB2C28">
        <w:t>uterine atony</w:t>
      </w:r>
    </w:p>
    <w:p w:rsidR="00000000" w:rsidRPr="00FB2C28" w:rsidP="00FB2C28">
      <w:pPr>
        <w:pStyle w:val="ListBullet2"/>
      </w:pPr>
      <w:r w:rsidRPr="00FB2C28">
        <w:t xml:space="preserve">local anaesthetic toxicity </w:t>
      </w:r>
    </w:p>
    <w:p w:rsidR="00000000" w:rsidRPr="00FB2C28" w:rsidP="00FB2C28">
      <w:pPr>
        <w:pStyle w:val="ListBullet"/>
      </w:pPr>
      <w:r w:rsidRPr="00FB2C28">
        <w:t>methods of drug preparation, including:</w:t>
      </w:r>
    </w:p>
    <w:p w:rsidR="00000000" w:rsidRPr="00FB2C28" w:rsidP="00FB2C28">
      <w:pPr>
        <w:pStyle w:val="ListBullet2"/>
      </w:pPr>
      <w:r w:rsidRPr="00FB2C28">
        <w:t>dilutions</w:t>
      </w:r>
    </w:p>
    <w:p w:rsidR="00000000" w:rsidRPr="00FB2C28" w:rsidP="00FB2C28">
      <w:pPr>
        <w:pStyle w:val="ListBullet2"/>
      </w:pPr>
      <w:r w:rsidRPr="00FB2C28">
        <w:t>reconstitutions</w:t>
      </w:r>
    </w:p>
    <w:p w:rsidR="00000000" w:rsidRPr="00FB2C28" w:rsidP="00FB2C28">
      <w:pPr>
        <w:pStyle w:val="ListBullet"/>
      </w:pPr>
      <w:r w:rsidRPr="00FB2C28">
        <w:t>factors to consider when calculating medication dosages including:</w:t>
      </w:r>
    </w:p>
    <w:p w:rsidR="00000000" w:rsidRPr="00FB2C28" w:rsidP="00FB2C28">
      <w:pPr>
        <w:pStyle w:val="ListBullet2"/>
      </w:pPr>
      <w:r w:rsidRPr="00FB2C28">
        <w:t>calculation formulae</w:t>
      </w:r>
    </w:p>
    <w:p w:rsidR="00000000" w:rsidRPr="00FB2C28" w:rsidP="00FB2C28">
      <w:pPr>
        <w:pStyle w:val="ListBullet2"/>
      </w:pPr>
      <w:r w:rsidRPr="00FB2C28">
        <w:t>calculation of dosages of injectable drugs including liquid, solid and unit dosages</w:t>
      </w:r>
    </w:p>
    <w:p w:rsidR="00000000" w:rsidRPr="00FB2C28" w:rsidP="00FB2C28">
      <w:pPr>
        <w:pStyle w:val="ListBullet2"/>
      </w:pPr>
      <w:r w:rsidRPr="00FB2C28">
        <w:t>flow rate drops per minute</w:t>
      </w:r>
    </w:p>
    <w:p w:rsidR="00000000" w:rsidRPr="00FB2C28" w:rsidP="00FB2C28">
      <w:pPr>
        <w:pStyle w:val="ListBullet2"/>
      </w:pPr>
      <w:r w:rsidRPr="00FB2C28">
        <w:t>flow rate millilitres per hour</w:t>
      </w:r>
    </w:p>
    <w:p w:rsidR="00000000" w:rsidRPr="00FB2C28" w:rsidP="00FB2C28">
      <w:pPr>
        <w:pStyle w:val="ListBullet2"/>
      </w:pPr>
      <w:r w:rsidRPr="00FB2C28">
        <w:t>duration of infusion</w:t>
      </w:r>
    </w:p>
    <w:p w:rsidR="00000000" w:rsidRPr="00FB2C28" w:rsidP="00FB2C28">
      <w:pPr>
        <w:pStyle w:val="ListBullet2"/>
      </w:pPr>
      <w:r w:rsidRPr="00FB2C28">
        <w:t>paed</w:t>
      </w:r>
      <w:r w:rsidRPr="00FB2C28">
        <w:t>iatric dosage calculations:</w:t>
      </w:r>
    </w:p>
    <w:p w:rsidR="00000000" w:rsidRPr="00FB2C28" w:rsidP="00FB2C28">
      <w:pPr>
        <w:pStyle w:val="ListBullet3"/>
      </w:pPr>
      <w:r w:rsidRPr="00FB2C28">
        <w:t>body weight</w:t>
      </w:r>
    </w:p>
    <w:p w:rsidR="00000000" w:rsidRPr="00FB2C28" w:rsidP="00FB2C28">
      <w:pPr>
        <w:pStyle w:val="ListBullet3"/>
      </w:pPr>
      <w:r w:rsidRPr="00FB2C28">
        <w:t>surface area</w:t>
      </w:r>
    </w:p>
    <w:p w:rsidR="00000000" w:rsidRPr="00FB2C28" w:rsidP="00FB2C28">
      <w:pPr>
        <w:pStyle w:val="ListBullet3"/>
      </w:pPr>
      <w:r w:rsidRPr="00FB2C28">
        <w:t>age related dose reduction</w:t>
      </w:r>
    </w:p>
    <w:p w:rsidR="00000000" w:rsidRPr="00FB2C28" w:rsidP="00FB2C28">
      <w:pPr>
        <w:pStyle w:val="ListBullet2"/>
      </w:pPr>
      <w:r w:rsidRPr="00FB2C28">
        <w:t>geriatric dosage calculations:</w:t>
      </w:r>
    </w:p>
    <w:p w:rsidR="00000000" w:rsidRPr="00FB2C28" w:rsidP="00FB2C28">
      <w:pPr>
        <w:pStyle w:val="ListBullet3"/>
      </w:pPr>
      <w:r w:rsidRPr="00FB2C28">
        <w:t>body weight</w:t>
      </w:r>
    </w:p>
    <w:p w:rsidR="00000000" w:rsidRPr="00FB2C28" w:rsidP="00FB2C28">
      <w:pPr>
        <w:pStyle w:val="ListBullet3"/>
      </w:pPr>
      <w:r w:rsidRPr="00FB2C28">
        <w:t xml:space="preserve">surface area </w:t>
      </w:r>
    </w:p>
    <w:p w:rsidR="00000000" w:rsidRPr="00FB2C28" w:rsidP="00FB2C28">
      <w:pPr>
        <w:pStyle w:val="ListBullet3"/>
      </w:pPr>
      <w:r w:rsidRPr="00FB2C28">
        <w:t>age</w:t>
      </w:r>
    </w:p>
    <w:p w:rsidR="00000000" w:rsidRPr="00FB2C28" w:rsidP="00FB2C28">
      <w:pPr>
        <w:pStyle w:val="ListBullet"/>
      </w:pPr>
      <w:r w:rsidRPr="00FB2C28">
        <w:t>methods of storage and handling of medication</w:t>
      </w:r>
    </w:p>
    <w:p w:rsidR="00000000" w:rsidRPr="00FB2C28" w:rsidP="00FB2C28">
      <w:pPr>
        <w:pStyle w:val="ListBullet"/>
      </w:pPr>
      <w:r w:rsidRPr="00FB2C28">
        <w:t>equipment for administration of medications, including:</w:t>
      </w:r>
    </w:p>
    <w:p w:rsidR="00000000" w:rsidRPr="00FB2C28" w:rsidP="00FB2C28">
      <w:pPr>
        <w:pStyle w:val="ListBullet2"/>
      </w:pPr>
      <w:r w:rsidRPr="00FB2C28">
        <w:t>volumetric pumps</w:t>
      </w:r>
    </w:p>
    <w:p w:rsidR="00000000" w:rsidRPr="00FB2C28" w:rsidP="00FB2C28">
      <w:pPr>
        <w:pStyle w:val="ListBullet2"/>
      </w:pPr>
      <w:r w:rsidRPr="00FB2C28">
        <w:t>syringe drivers</w:t>
      </w:r>
    </w:p>
    <w:p w:rsidR="00000000" w:rsidRPr="00FB2C28" w:rsidP="00FB2C28">
      <w:pPr>
        <w:pStyle w:val="ListBullet2"/>
      </w:pPr>
      <w:r w:rsidRPr="00FB2C28">
        <w:t>consumables</w:t>
      </w:r>
    </w:p>
    <w:p w:rsidR="00000000" w:rsidRPr="00FB2C28" w:rsidP="00FB2C28">
      <w:pPr>
        <w:pStyle w:val="ListBullet"/>
      </w:pPr>
      <w:r w:rsidRPr="00FB2C28">
        <w:t>infusion products and equipment:</w:t>
      </w:r>
    </w:p>
    <w:p w:rsidR="00000000" w:rsidRPr="00FB2C28" w:rsidP="00FB2C28">
      <w:pPr>
        <w:pStyle w:val="ListBullet2"/>
      </w:pPr>
      <w:r w:rsidRPr="00FB2C28">
        <w:t>rapid infusers</w:t>
      </w:r>
    </w:p>
    <w:p w:rsidR="00000000" w:rsidRPr="00FB2C28" w:rsidP="00FB2C28">
      <w:pPr>
        <w:pStyle w:val="ListBullet2"/>
      </w:pPr>
      <w:r w:rsidRPr="00FB2C28">
        <w:t>warming devices</w:t>
      </w:r>
    </w:p>
    <w:p w:rsidR="00000000" w:rsidRPr="00FB2C28" w:rsidP="00FB2C28">
      <w:pPr>
        <w:pStyle w:val="ListBullet2"/>
      </w:pPr>
      <w:r w:rsidRPr="00FB2C28">
        <w:t>burettes</w:t>
      </w:r>
    </w:p>
    <w:p w:rsidR="00000000" w:rsidRPr="00FB2C28" w:rsidP="00FB2C28">
      <w:pPr>
        <w:pStyle w:val="ListBullet2"/>
      </w:pPr>
      <w:r w:rsidRPr="00FB2C28">
        <w:t>vaporisers</w:t>
      </w:r>
    </w:p>
    <w:p w:rsidR="00000000" w:rsidRPr="00FB2C28" w:rsidP="00FB2C28">
      <w:pPr>
        <w:pStyle w:val="ListBullet2"/>
      </w:pPr>
      <w:r w:rsidRPr="00FB2C28">
        <w:t>infusion sets and attachments</w:t>
      </w:r>
    </w:p>
    <w:p w:rsidR="00000000" w:rsidRPr="00FB2C28" w:rsidP="00FB2C28">
      <w:pPr>
        <w:pStyle w:val="ListBullet2"/>
      </w:pPr>
      <w:r w:rsidRPr="00FB2C28">
        <w:t>blood and blood products</w:t>
      </w:r>
    </w:p>
    <w:p w:rsidR="00000000" w:rsidRPr="00FB2C28" w:rsidP="00FB2C28">
      <w:pPr>
        <w:pStyle w:val="ListBullet2"/>
      </w:pPr>
      <w:r w:rsidRPr="00FB2C28">
        <w:t>crystalloids</w:t>
      </w:r>
    </w:p>
    <w:p w:rsidR="00000000" w:rsidRPr="00FB2C28" w:rsidP="00FB2C28">
      <w:pPr>
        <w:pStyle w:val="ListBullet2"/>
      </w:pPr>
      <w:r w:rsidRPr="00FB2C28">
        <w:t>colloids</w:t>
      </w:r>
    </w:p>
    <w:p w:rsidR="00000000" w:rsidRPr="00FB2C28" w:rsidP="00FB2C28">
      <w:pPr>
        <w:pStyle w:val="ListBullet"/>
      </w:pPr>
      <w:r w:rsidRPr="00FB2C28">
        <w:t>massive transfusion protocol</w:t>
      </w:r>
    </w:p>
    <w:p w:rsidR="00000000" w:rsidRPr="00FB2C28" w:rsidP="00FB2C28">
      <w:pPr>
        <w:pStyle w:val="ListBullet"/>
      </w:pPr>
      <w:r w:rsidRPr="00FB2C28">
        <w:t>emergency medical management of anaphylaxis and adverse drug or fluid reactions</w:t>
      </w:r>
    </w:p>
    <w:p w:rsidR="00000000" w:rsidRPr="00FB2C28" w:rsidP="00FB2C28">
      <w:pPr>
        <w:pStyle w:val="ListBullet"/>
      </w:pPr>
      <w:r w:rsidRPr="00FB2C28">
        <w:t>biological fluid exposure.</w:t>
      </w:r>
    </w:p>
    <w:p w:rsidR="00000000" w:rsidRPr="00FB2C28" w:rsidP="00FB2C28">
      <w:pPr>
        <w:pStyle w:val="AllowPageBreak"/>
      </w:pPr>
    </w:p>
    <w:p w:rsidR="00000000" w:rsidRPr="00FB2C28" w:rsidP="00FB2C28">
      <w:pPr>
        <w:pStyle w:val="Heading1"/>
      </w:pPr>
      <w:bookmarkStart w:id="13" w:name="O_1199017"/>
      <w:bookmarkEnd w:id="13"/>
      <w:r w:rsidRPr="00FB2C28">
        <w:t>Assessment Conditions</w:t>
      </w:r>
    </w:p>
    <w:p w:rsidR="00000000" w:rsidRPr="00FB2C28" w:rsidP="00AC4C76">
      <w:pPr>
        <w:pStyle w:val="BodyText"/>
      </w:pPr>
      <w:r w:rsidRPr="00FB2C28">
        <w:t>Skills must be demonstrated in the workplace with the addition of simulations and scenarios where the full r</w:t>
      </w:r>
      <w:r w:rsidRPr="00FB2C28">
        <w:t xml:space="preserve">ange of contexts and situations have not been provided in the workplace. </w:t>
      </w:r>
    </w:p>
    <w:p w:rsidR="00000000" w:rsidRPr="00FB2C28" w:rsidP="00AC4C76">
      <w:pPr>
        <w:pStyle w:val="BodyText"/>
      </w:pPr>
      <w:r w:rsidRPr="00FB2C28">
        <w:t>Assessment must ensure access to:</w:t>
      </w:r>
    </w:p>
    <w:p w:rsidR="00000000" w:rsidRPr="00FB2C28" w:rsidP="00FB2C28">
      <w:pPr>
        <w:pStyle w:val="ListBullet"/>
      </w:pPr>
      <w:r w:rsidRPr="00FB2C28">
        <w:t xml:space="preserve">use of suitable facilities, equipment and resources, including: </w:t>
      </w:r>
    </w:p>
    <w:p w:rsidR="00000000" w:rsidRPr="00FB2C28" w:rsidP="00FB2C28">
      <w:pPr>
        <w:pStyle w:val="ListBullet2"/>
      </w:pPr>
      <w:r w:rsidRPr="00FB2C28">
        <w:t>manufacturer’s instructions</w:t>
      </w:r>
    </w:p>
    <w:p w:rsidR="00000000" w:rsidRPr="00FB2C28" w:rsidP="00FB2C28">
      <w:pPr>
        <w:pStyle w:val="ListBullet2"/>
      </w:pPr>
      <w:r w:rsidRPr="00FB2C28">
        <w:t xml:space="preserve">organisational policies and procedures </w:t>
      </w:r>
    </w:p>
    <w:p w:rsidR="00000000" w:rsidRPr="00FB2C28" w:rsidP="00FB2C28">
      <w:pPr>
        <w:pStyle w:val="ListBullet2"/>
      </w:pPr>
      <w:r w:rsidRPr="00FB2C28">
        <w:t>Monthly Index</w:t>
      </w:r>
      <w:r w:rsidRPr="00FB2C28">
        <w:t xml:space="preserve"> of Medical Specialities (MIMS)</w:t>
      </w:r>
    </w:p>
    <w:p w:rsidR="00000000" w:rsidRPr="00FB2C28" w:rsidP="00FB2C28">
      <w:pPr>
        <w:pStyle w:val="ListBullet2"/>
      </w:pPr>
      <w:r w:rsidRPr="00FB2C28">
        <w:t>Australian and New Zealand Society of Blood Transfusion (ANZSBT) and Australian and New Zealand College of Anaesthetists (ANZCA) guidelines</w:t>
      </w:r>
    </w:p>
    <w:p w:rsidR="00000000" w:rsidRPr="00FB2C28" w:rsidP="00FB2C28">
      <w:pPr>
        <w:pStyle w:val="ListBullet2"/>
      </w:pPr>
      <w:r w:rsidRPr="00FB2C28">
        <w:t>medications</w:t>
      </w:r>
    </w:p>
    <w:p w:rsidR="00000000" w:rsidRPr="00FB2C28" w:rsidP="00FB2C28">
      <w:pPr>
        <w:pStyle w:val="ListBullet"/>
      </w:pPr>
      <w:r w:rsidRPr="00FB2C28">
        <w:t>modelling of industry operating conditions, including presence of situations requiring problem solving in non-routine situations.</w:t>
      </w:r>
    </w:p>
    <w:p w:rsidR="00000000" w:rsidRPr="00FB2C28" w:rsidP="00AC4C76">
      <w:pPr>
        <w:pStyle w:val="BodyText"/>
      </w:pPr>
      <w:r w:rsidRPr="00FB2C28">
        <w:t>Assessors must satisfy the Standards for Registered Training Organisations’ requirements for assessors.</w:t>
      </w:r>
    </w:p>
    <w:p w:rsidR="00000000" w:rsidRPr="00FB2C28" w:rsidP="00FB2C28">
      <w:pPr>
        <w:pStyle w:val="Heading1"/>
      </w:pPr>
      <w:bookmarkStart w:id="14" w:name="O_1199020"/>
      <w:bookmarkEnd w:id="14"/>
      <w:r w:rsidRPr="00FB2C28">
        <w:t>Lin</w:t>
      </w:r>
      <w:r w:rsidRPr="00FB2C28">
        <w:t>ks</w:t>
      </w:r>
    </w:p>
    <w:p w:rsidR="00000000" w:rsidRPr="00FB2C28" w:rsidP="00AC4C76">
      <w:pPr>
        <w:pStyle w:val="BodyText"/>
      </w:pPr>
      <w:r w:rsidRPr="00FB2C2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9168EC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FB2C28" w:rsidP="00FB2C28"/>
    <w:sectPr w:rsidSect="00FB2C2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2C2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2C28" w:rsidRPr="00AC4C76" w:rsidP="00AC4C7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2C2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4C76" w:rsidP="00FB2C2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AC4C76" w:rsidP="00FB2C2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AC4C76" w:rsidP="00FB2C2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2C28" w:rsidP="00FB2C2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C4C76">
      <w:t>Approved</w:t>
    </w:r>
    <w:r w:rsidR="00AC4C7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C4C76"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C4C76">
      <w:rPr>
        <w:noProof/>
      </w:rPr>
      <w:t>7</w:t>
    </w:r>
    <w:r>
      <w:rPr>
        <w:noProof/>
      </w:rPr>
      <w:fldChar w:fldCharType="end"/>
    </w:r>
  </w:p>
  <w:p w:rsidR="00FB2C28" w:rsidP="00FB2C2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C4C7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C4C76">
      <w:t>HumanAbility</w:t>
    </w:r>
    <w:r w:rsidR="00AC4C76">
      <w:fldChar w:fldCharType="end"/>
    </w:r>
  </w:p>
  <w:p w:rsidR="00FB2C28" w:rsidP="00FB2C2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2C2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4C7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B2C28" w:rsidRPr="00AC4C76" w:rsidP="00AC4C7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2C2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4C76" w:rsidRPr="002D2AF8" w:rsidP="00FB2C2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HLTANA014 Monitor medications in the anaesthetic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C4C76" w:rsidP="00FB2C2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2C28" w:rsidRPr="002D2AF8" w:rsidP="00FB2C2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C4C76">
      <w:t>HLTANA014 Monitor medications in the anaesthetic environment</w:t>
    </w:r>
    <w:r w:rsidR="00AC4C7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C4C76">
      <w:rPr>
        <w:noProof/>
      </w:rPr>
      <w:t>2 March 2025</w:t>
    </w:r>
    <w:r>
      <w:fldChar w:fldCharType="end"/>
    </w:r>
  </w:p>
  <w:p w:rsidR="00FB2C28" w:rsidP="00FB2C2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B36F8B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62420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C90544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2C2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B2C2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B2C2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B2C2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B2C2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B2C2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B2C2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B2C2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B2C2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B2C2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B2C2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B2C28"/>
  </w:style>
  <w:style w:type="character" w:customStyle="1" w:styleId="Heading1Char">
    <w:name w:val="Heading 1 Char"/>
    <w:basedOn w:val="DefaultParagraphFont"/>
    <w:link w:val="Heading1"/>
    <w:rsid w:val="00FB2C2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B2C2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B2C2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B2C2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B2C28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B2C28"/>
    <w:rPr>
      <w:b/>
      <w:spacing w:val="0"/>
    </w:rPr>
  </w:style>
  <w:style w:type="paragraph" w:styleId="ListBullet2">
    <w:name w:val="List Bullet 2"/>
    <w:basedOn w:val="List2"/>
    <w:rsid w:val="00FB2C28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B2C28"/>
    <w:rPr>
      <w:i/>
    </w:rPr>
  </w:style>
  <w:style w:type="paragraph" w:customStyle="1" w:styleId="SuperHeading">
    <w:name w:val="SuperHeading"/>
    <w:basedOn w:val="Normal"/>
    <w:rsid w:val="00FB2C2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B2C2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FB2C28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FB2C2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B2C2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B2C2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B2C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B2C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B2C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B2C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B2C2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B2C2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B2C2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B2C2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B2C2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B2C2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B2C2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B2C2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B2C2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B2C2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B2C2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B2C2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B2C2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B2C2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B2C2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B2C2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B2C2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B2C2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B2C2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B2C2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B2C2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B2C2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B2C2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B2C2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B2C2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B2C2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B2C2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B2C28"/>
  </w:style>
  <w:style w:type="paragraph" w:styleId="TableofFigures">
    <w:name w:val="table of figures"/>
    <w:basedOn w:val="Normal"/>
    <w:next w:val="Normal"/>
    <w:semiHidden/>
    <w:rsid w:val="00FB2C2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B2C28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FB2C28"/>
    <w:rPr>
      <w:rFonts w:ascii="Wingdings" w:hAnsi="Wingdings"/>
    </w:rPr>
  </w:style>
  <w:style w:type="paragraph" w:customStyle="1" w:styleId="TableHeading">
    <w:name w:val="Table Heading"/>
    <w:basedOn w:val="HeadingBase"/>
    <w:rsid w:val="00FB2C2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B2C28"/>
    <w:rPr>
      <w:color w:val="0033CC"/>
      <w:u w:val="none"/>
    </w:rPr>
  </w:style>
  <w:style w:type="paragraph" w:customStyle="1" w:styleId="BodyTextRight">
    <w:name w:val="Body Text Right"/>
    <w:basedOn w:val="BodyText"/>
    <w:rsid w:val="00FB2C2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B2C2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B2C28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B2C2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B2C2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B2C2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B2C28"/>
    <w:rPr>
      <w:sz w:val="32"/>
    </w:rPr>
  </w:style>
  <w:style w:type="paragraph" w:customStyle="1" w:styleId="HeadingProcedure">
    <w:name w:val="Heading Procedure"/>
    <w:basedOn w:val="HeadingBase"/>
    <w:next w:val="Normal"/>
    <w:rsid w:val="00FB2C2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B2C28"/>
    <w:pPr>
      <w:spacing w:before="60" w:after="60"/>
    </w:pPr>
  </w:style>
  <w:style w:type="paragraph" w:styleId="ListContinue">
    <w:name w:val="List Continue"/>
    <w:basedOn w:val="List"/>
    <w:rsid w:val="00FB2C28"/>
    <w:pPr>
      <w:ind w:firstLine="0"/>
    </w:pPr>
  </w:style>
  <w:style w:type="paragraph" w:customStyle="1" w:styleId="ListNote">
    <w:name w:val="List Note"/>
    <w:basedOn w:val="List"/>
    <w:rsid w:val="00FB2C2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B2C2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B2C2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B2C28"/>
    <w:rPr>
      <w:rFonts w:ascii="Courier New" w:hAnsi="Courier New"/>
    </w:rPr>
  </w:style>
  <w:style w:type="paragraph" w:customStyle="1" w:styleId="NoteBullet">
    <w:name w:val="Note Bullet"/>
    <w:basedOn w:val="Note"/>
    <w:rsid w:val="00FB2C2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B2C2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B2C2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B2C2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B2C2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B2C2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B2C2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B2C28"/>
    <w:rPr>
      <w:b/>
      <w:smallCaps/>
    </w:rPr>
  </w:style>
  <w:style w:type="paragraph" w:customStyle="1" w:styleId="TableListNumber">
    <w:name w:val="Table List Number"/>
    <w:basedOn w:val="ListNumber"/>
    <w:rsid w:val="00FB2C2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B2C2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B2C28"/>
    <w:pPr>
      <w:numPr>
        <w:numId w:val="10"/>
      </w:numPr>
    </w:pPr>
  </w:style>
  <w:style w:type="paragraph" w:customStyle="1" w:styleId="ListAlpha2">
    <w:name w:val="List Alpha 2"/>
    <w:basedOn w:val="List2"/>
    <w:rsid w:val="00FB2C28"/>
    <w:pPr>
      <w:numPr>
        <w:numId w:val="9"/>
      </w:numPr>
    </w:pPr>
  </w:style>
  <w:style w:type="paragraph" w:styleId="List2">
    <w:name w:val="List 2"/>
    <w:basedOn w:val="BodyText"/>
    <w:rsid w:val="00FB2C2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B2C2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B2C2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B2C28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FB2C28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FB2C28"/>
    <w:pPr>
      <w:numPr>
        <w:numId w:val="5"/>
      </w:numPr>
    </w:pPr>
  </w:style>
  <w:style w:type="paragraph" w:styleId="ListContinue2">
    <w:name w:val="List Continue 2"/>
    <w:basedOn w:val="List2"/>
    <w:rsid w:val="00FB2C28"/>
    <w:pPr>
      <w:ind w:firstLine="0"/>
    </w:pPr>
  </w:style>
  <w:style w:type="paragraph" w:styleId="ListContinue3">
    <w:name w:val="List Continue 3"/>
    <w:basedOn w:val="List3"/>
    <w:rsid w:val="00FB2C28"/>
    <w:pPr>
      <w:ind w:left="1021" w:firstLine="0"/>
    </w:pPr>
  </w:style>
  <w:style w:type="paragraph" w:styleId="ListContinue4">
    <w:name w:val="List Continue 4"/>
    <w:basedOn w:val="List4"/>
    <w:rsid w:val="00FB2C28"/>
    <w:pPr>
      <w:ind w:firstLine="0"/>
    </w:pPr>
  </w:style>
  <w:style w:type="paragraph" w:styleId="ListContinue5">
    <w:name w:val="List Continue 5"/>
    <w:basedOn w:val="List5"/>
    <w:rsid w:val="00FB2C28"/>
    <w:pPr>
      <w:ind w:firstLine="0"/>
    </w:pPr>
  </w:style>
  <w:style w:type="paragraph" w:styleId="ListNumber3">
    <w:name w:val="List Number 3"/>
    <w:basedOn w:val="List3"/>
    <w:rsid w:val="00FB2C28"/>
    <w:pPr>
      <w:numPr>
        <w:numId w:val="6"/>
      </w:numPr>
    </w:pPr>
  </w:style>
  <w:style w:type="paragraph" w:styleId="ListNumber4">
    <w:name w:val="List Number 4"/>
    <w:basedOn w:val="List4"/>
    <w:rsid w:val="00FB2C28"/>
    <w:pPr>
      <w:numPr>
        <w:numId w:val="7"/>
      </w:numPr>
    </w:pPr>
  </w:style>
  <w:style w:type="paragraph" w:styleId="ListNumber5">
    <w:name w:val="List Number 5"/>
    <w:basedOn w:val="List5"/>
    <w:rsid w:val="00FB2C28"/>
    <w:pPr>
      <w:numPr>
        <w:numId w:val="8"/>
      </w:numPr>
    </w:pPr>
  </w:style>
  <w:style w:type="paragraph" w:styleId="BlockText">
    <w:name w:val="Block Text"/>
    <w:basedOn w:val="Normal"/>
    <w:rsid w:val="00FB2C2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B2C2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B2C28"/>
    <w:rPr>
      <w:sz w:val="16"/>
      <w:vertAlign w:val="superscript"/>
    </w:rPr>
  </w:style>
  <w:style w:type="character" w:customStyle="1" w:styleId="Symbols">
    <w:name w:val="Symbols"/>
    <w:basedOn w:val="DefaultParagraphFont"/>
    <w:rsid w:val="00FB2C28"/>
    <w:rPr>
      <w:rFonts w:ascii="Symbol" w:hAnsi="Symbol"/>
    </w:rPr>
  </w:style>
  <w:style w:type="character" w:customStyle="1" w:styleId="MenuOptions">
    <w:name w:val="Menu Options"/>
    <w:basedOn w:val="DefaultParagraphFont"/>
    <w:rsid w:val="00FB2C2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B2C28"/>
    <w:rPr>
      <w:b/>
    </w:rPr>
  </w:style>
  <w:style w:type="character" w:customStyle="1" w:styleId="Underlined">
    <w:name w:val="Underlined"/>
    <w:basedOn w:val="DefaultParagraphFont"/>
    <w:rsid w:val="00FB2C28"/>
    <w:rPr>
      <w:u w:val="single"/>
    </w:rPr>
  </w:style>
  <w:style w:type="paragraph" w:customStyle="1" w:styleId="TableBodyTextRight">
    <w:name w:val="Table Body Text Right"/>
    <w:basedOn w:val="TableBodyText"/>
    <w:rsid w:val="00FB2C2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B2C28"/>
    <w:rPr>
      <w:sz w:val="18"/>
    </w:rPr>
  </w:style>
  <w:style w:type="paragraph" w:customStyle="1" w:styleId="BodySmallRight">
    <w:name w:val="Body Small Right"/>
    <w:basedOn w:val="BodyTextRight"/>
    <w:rsid w:val="00FB2C28"/>
    <w:rPr>
      <w:sz w:val="18"/>
      <w:szCs w:val="18"/>
    </w:rPr>
  </w:style>
  <w:style w:type="paragraph" w:customStyle="1" w:styleId="MarginEdition">
    <w:name w:val="Margin Edition"/>
    <w:basedOn w:val="MarginNote"/>
    <w:rsid w:val="00FB2C2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B2C28"/>
    <w:rPr>
      <w:sz w:val="2"/>
      <w:szCs w:val="2"/>
    </w:rPr>
  </w:style>
  <w:style w:type="character" w:customStyle="1" w:styleId="Small">
    <w:name w:val="Small"/>
    <w:basedOn w:val="DefaultParagraphFont"/>
    <w:rsid w:val="00FB2C28"/>
    <w:rPr>
      <w:sz w:val="16"/>
    </w:rPr>
  </w:style>
  <w:style w:type="paragraph" w:customStyle="1" w:styleId="WideTable">
    <w:name w:val="Wide Table"/>
    <w:basedOn w:val="Normal"/>
    <w:rsid w:val="00FB2C2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B2C28"/>
  </w:style>
  <w:style w:type="paragraph" w:styleId="Quote">
    <w:name w:val="Quote"/>
    <w:basedOn w:val="Heading1"/>
    <w:link w:val="QuoteChar"/>
    <w:qFormat/>
    <w:rsid w:val="00FB2C2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B2C2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B2C28"/>
    <w:pPr>
      <w:pageBreakBefore/>
    </w:pPr>
  </w:style>
  <w:style w:type="paragraph" w:customStyle="1" w:styleId="Border">
    <w:name w:val="Border"/>
    <w:basedOn w:val="Normal"/>
    <w:qFormat/>
    <w:rsid w:val="00FB2C2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B2C2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2C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2C2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B2C2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B2C2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B2C2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B2C2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B2C2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B2C28"/>
    <w:rPr>
      <w:u w:val="single"/>
    </w:rPr>
  </w:style>
  <w:style w:type="character" w:customStyle="1" w:styleId="BoldandItalics">
    <w:name w:val="Bold and Italics"/>
    <w:qFormat/>
    <w:rsid w:val="00FB2C28"/>
    <w:rPr>
      <w:b/>
      <w:i/>
      <w:u w:val="none"/>
    </w:rPr>
  </w:style>
  <w:style w:type="paragraph" w:styleId="BalloonText">
    <w:name w:val="Balloon Text"/>
    <w:basedOn w:val="Normal"/>
    <w:link w:val="BalloonTextChar"/>
    <w:rsid w:val="00FB2C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B2C2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B2C2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B2C2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B2C2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B2C2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B2C28"/>
    <w:pPr>
      <w:spacing w:before="0" w:after="0"/>
    </w:pPr>
  </w:style>
  <w:style w:type="paragraph" w:customStyle="1" w:styleId="BodyTextBold">
    <w:name w:val="Body Text Bold"/>
    <w:basedOn w:val="BodyText"/>
    <w:qFormat/>
    <w:rsid w:val="00FB2C28"/>
    <w:rPr>
      <w:b/>
    </w:rPr>
  </w:style>
  <w:style w:type="character" w:styleId="Hyperlink">
    <w:name w:val="Hyperlink"/>
    <w:basedOn w:val="DefaultParagraphFont"/>
    <w:uiPriority w:val="99"/>
    <w:unhideWhenUsed/>
    <w:rsid w:val="00AC4C7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1231</Words>
  <Characters>8630</Characters>
  <Application>Microsoft Office Word</Application>
  <DocSecurity>0</DocSecurity>
  <Lines>287</Lines>
  <Paragraphs>240</Paragraphs>
  <ScaleCrop>false</ScaleCrop>
  <Company>Author-it Software Corporation Ltd.</Company>
  <LinksUpToDate>false</LinksUpToDate>
  <CharactersWithSpaces>9621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HLTANA014 Monitor medications in the anaesthetic environment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2025-03-02T01:05:00Z</dcterms:created>
  <dcterms:modified xsi:type="dcterms:W3CDTF">2025-03-02T01:05:00Z</dcterms:modified>
</cp:coreProperties>
</file>