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A9F" w:rsidP="007C0A9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HLTANA014 Monitor medications in the anaesthetic environment</w:t>
      </w:r>
      <w:r>
        <w:fldChar w:fldCharType="end"/>
      </w:r>
    </w:p>
    <w:p w:rsidR="007C0A9F" w:rsidP="007C0A9F">
      <w:pPr>
        <w:pStyle w:val="Version"/>
        <w:sectPr w:rsidSect="00434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621" w:rsidP="00434621">
      <w:pPr>
        <w:pStyle w:val="SuperHeading"/>
      </w:pPr>
      <w:r w:rsidRPr="00434621">
        <w:t>Assessment Requirements for HLTANA014 Monitor medications in the anaesthetic environment</w:t>
      </w:r>
    </w:p>
    <w:p w:rsidR="00000000" w:rsidRPr="00434621" w:rsidP="00434621">
      <w:pPr>
        <w:pStyle w:val="Heading1"/>
      </w:pPr>
      <w:bookmarkStart w:id="1" w:name="O_1199014"/>
      <w:bookmarkEnd w:id="1"/>
      <w:r w:rsidRPr="00434621">
        <w:t>Modification History</w:t>
      </w:r>
    </w:p>
    <w:p w:rsidR="00000000" w:rsidRPr="00434621" w:rsidP="007C0A9F">
      <w:pPr>
        <w:pStyle w:val="BodyText"/>
      </w:pPr>
      <w:r w:rsidRPr="00434621">
        <w:t>Supersedes and is not equivalent to HLTANA007 Monitor medications in the anaesthetic environment.</w:t>
      </w:r>
    </w:p>
    <w:p w:rsidR="00000000" w:rsidRPr="00434621" w:rsidP="00434621">
      <w:pPr>
        <w:pStyle w:val="Heading1"/>
      </w:pPr>
      <w:bookmarkStart w:id="2" w:name="O_1199015"/>
      <w:bookmarkEnd w:id="2"/>
      <w:r w:rsidRPr="00434621">
        <w:t>Performance Evidence</w:t>
      </w:r>
    </w:p>
    <w:p w:rsidR="00000000" w:rsidRPr="00434621" w:rsidP="007C0A9F">
      <w:pPr>
        <w:pStyle w:val="BodyText"/>
      </w:pPr>
      <w:r w:rsidRPr="00434621">
        <w:t>Evidence of the ability to complete tasks outlined in elements and performance criteria of this unit in the context of the job role, and:</w:t>
      </w:r>
    </w:p>
    <w:p w:rsidR="00000000" w:rsidRPr="00434621" w:rsidP="00434621">
      <w:pPr>
        <w:pStyle w:val="ListBullet"/>
      </w:pPr>
      <w:r w:rsidRPr="00434621">
        <w:t>access, prepare and monitor medications, fluids, blood and blood products in accordance with leg</w:t>
      </w:r>
      <w:r w:rsidRPr="00434621">
        <w:t>islation and the organisation’s medication and delegation policies and practice under the supervision of a health professional on at least 10 different occasions</w:t>
      </w:r>
    </w:p>
    <w:p w:rsidR="00000000" w:rsidRPr="00434621" w:rsidP="00434621">
      <w:pPr>
        <w:pStyle w:val="ListBullet"/>
      </w:pPr>
      <w:r w:rsidRPr="00434621">
        <w:t>administer crystalloids, colloids, blood and blood products</w:t>
      </w:r>
    </w:p>
    <w:p w:rsidR="00000000" w:rsidRPr="00434621" w:rsidP="00434621">
      <w:pPr>
        <w:pStyle w:val="ListBullet"/>
      </w:pPr>
      <w:r w:rsidRPr="00434621">
        <w:t xml:space="preserve">program infusion devices at least </w:t>
      </w:r>
      <w:r w:rsidRPr="00434621">
        <w:t>twice</w:t>
      </w:r>
    </w:p>
    <w:p w:rsidR="00000000" w:rsidRPr="00434621" w:rsidP="00434621">
      <w:pPr>
        <w:pStyle w:val="ListBullet"/>
      </w:pPr>
      <w:r w:rsidRPr="00434621">
        <w:t>set up rapid infusion device at least twice</w:t>
      </w:r>
    </w:p>
    <w:p w:rsidR="00000000" w:rsidRPr="00434621" w:rsidP="00434621">
      <w:pPr>
        <w:pStyle w:val="ListBullet"/>
      </w:pPr>
      <w:r w:rsidRPr="00434621">
        <w:t>prepare drugs for administration via each of the following routes at least twice:</w:t>
      </w:r>
    </w:p>
    <w:p w:rsidR="00000000" w:rsidRPr="00434621" w:rsidP="00434621">
      <w:pPr>
        <w:pStyle w:val="ListBullet2"/>
      </w:pPr>
      <w:r w:rsidRPr="00434621">
        <w:t xml:space="preserve">inhalational </w:t>
      </w:r>
    </w:p>
    <w:p w:rsidR="00000000" w:rsidRPr="00434621" w:rsidP="00434621">
      <w:pPr>
        <w:pStyle w:val="ListBullet2"/>
      </w:pPr>
      <w:r w:rsidRPr="00434621">
        <w:t xml:space="preserve">intravenous </w:t>
      </w:r>
    </w:p>
    <w:p w:rsidR="00000000" w:rsidRPr="00434621" w:rsidP="00434621">
      <w:pPr>
        <w:pStyle w:val="ListBullet2"/>
      </w:pPr>
      <w:r w:rsidRPr="00434621">
        <w:t>intramuscular</w:t>
      </w:r>
    </w:p>
    <w:p w:rsidR="00000000" w:rsidRPr="00434621" w:rsidP="00434621">
      <w:pPr>
        <w:pStyle w:val="ListBullet2"/>
      </w:pPr>
      <w:r w:rsidRPr="00434621">
        <w:t>oral</w:t>
      </w:r>
    </w:p>
    <w:p w:rsidR="00000000" w:rsidRPr="00434621" w:rsidP="00434621">
      <w:pPr>
        <w:pStyle w:val="ListBullet2"/>
      </w:pPr>
      <w:r w:rsidRPr="00434621">
        <w:t>subcutaneous</w:t>
      </w:r>
    </w:p>
    <w:p w:rsidR="00000000" w:rsidRPr="00434621" w:rsidP="00434621">
      <w:pPr>
        <w:pStyle w:val="ListBullet2"/>
      </w:pPr>
      <w:r w:rsidRPr="00434621">
        <w:t>topical</w:t>
      </w:r>
    </w:p>
    <w:p w:rsidR="00000000" w:rsidRPr="00434621" w:rsidP="00434621">
      <w:pPr>
        <w:pStyle w:val="ListBullet"/>
      </w:pPr>
      <w:r w:rsidRPr="00434621">
        <w:t>perform the activities outlined in the performance criteria of this unit during a period of at least 360 hours of work related to anaesthetic technology in a clinical workplace environment. These 360 hours may be applied collectively across all units of co</w:t>
      </w:r>
      <w:r w:rsidRPr="00434621">
        <w:t>mpetency that include the requirement for workplace hours for the purposes of assessment.</w:t>
      </w:r>
    </w:p>
    <w:p w:rsidR="00000000" w:rsidRPr="00434621" w:rsidP="00434621">
      <w:pPr>
        <w:pStyle w:val="AllowPageBreak"/>
      </w:pPr>
    </w:p>
    <w:p w:rsidR="00000000" w:rsidRPr="00434621" w:rsidP="00434621">
      <w:pPr>
        <w:pStyle w:val="Heading1"/>
      </w:pPr>
      <w:bookmarkStart w:id="3" w:name="O_1199016"/>
      <w:bookmarkEnd w:id="3"/>
      <w:r w:rsidRPr="00434621">
        <w:t>Knowledge Evidence</w:t>
      </w:r>
    </w:p>
    <w:p w:rsidR="00000000" w:rsidRPr="00434621" w:rsidP="007C0A9F">
      <w:pPr>
        <w:pStyle w:val="BodyText"/>
      </w:pPr>
      <w:r w:rsidRPr="00434621">
        <w:t>Demonstrated knowledge required to complete the tasks outlined in elements and performance criteria of this unit:</w:t>
      </w:r>
    </w:p>
    <w:p w:rsidR="00000000" w:rsidRPr="00434621" w:rsidP="00434621">
      <w:pPr>
        <w:pStyle w:val="ListBullet"/>
      </w:pPr>
      <w:r w:rsidRPr="00434621">
        <w:t>national, sta</w:t>
      </w:r>
      <w:r w:rsidRPr="00434621">
        <w:t>te or territory legal and ethical considerations  for the handling and administration of medications, and how these are applied in organisations:</w:t>
      </w:r>
    </w:p>
    <w:p w:rsidR="00000000" w:rsidRPr="00434621" w:rsidP="00434621">
      <w:pPr>
        <w:pStyle w:val="ListBullet2"/>
      </w:pPr>
      <w:r w:rsidRPr="00434621">
        <w:t>approved drug and fluid abbreviations</w:t>
      </w:r>
    </w:p>
    <w:p w:rsidR="00000000" w:rsidRPr="00434621" w:rsidP="00434621">
      <w:pPr>
        <w:pStyle w:val="ListBullet2"/>
      </w:pPr>
      <w:r w:rsidRPr="00434621">
        <w:t>Australian and New Zealand scheduling for drugs and poisons</w:t>
      </w:r>
    </w:p>
    <w:p w:rsidR="00000000" w:rsidRPr="00434621" w:rsidP="00434621">
      <w:pPr>
        <w:pStyle w:val="ListBullet2"/>
      </w:pPr>
      <w:r w:rsidRPr="00434621">
        <w:t xml:space="preserve">Australian </w:t>
      </w:r>
      <w:r w:rsidRPr="00434621">
        <w:t>and New Zealand Society of Blood Transfusion guidelines (ANZSBT)</w:t>
      </w:r>
    </w:p>
    <w:p w:rsidR="00000000" w:rsidRPr="00434621" w:rsidP="00434621">
      <w:pPr>
        <w:pStyle w:val="ListBullet2"/>
      </w:pPr>
      <w:r w:rsidRPr="00434621">
        <w:t>codes of practice</w:t>
      </w:r>
    </w:p>
    <w:p w:rsidR="00000000" w:rsidRPr="00434621" w:rsidP="00434621">
      <w:pPr>
        <w:pStyle w:val="ListBullet2"/>
      </w:pPr>
      <w:r w:rsidRPr="00434621">
        <w:t>records management requirements</w:t>
      </w:r>
    </w:p>
    <w:p w:rsidR="00000000" w:rsidRPr="00434621" w:rsidP="00434621">
      <w:pPr>
        <w:pStyle w:val="ListBullet2"/>
      </w:pPr>
      <w:r w:rsidRPr="00434621">
        <w:t>storage</w:t>
      </w:r>
    </w:p>
    <w:p w:rsidR="00000000" w:rsidRPr="00434621" w:rsidP="00434621">
      <w:pPr>
        <w:pStyle w:val="ListBullet2"/>
      </w:pPr>
      <w:r w:rsidRPr="00434621">
        <w:t>work role boundaries including responsibilities and limitations</w:t>
      </w:r>
    </w:p>
    <w:p w:rsidR="00000000" w:rsidRPr="00434621" w:rsidP="00434621">
      <w:pPr>
        <w:pStyle w:val="ListBullet2"/>
      </w:pPr>
      <w:r w:rsidRPr="00434621">
        <w:t>rights and responsibilities of workers, employers and patients</w:t>
      </w:r>
    </w:p>
    <w:p w:rsidR="00000000" w:rsidRPr="00434621" w:rsidP="00434621">
      <w:pPr>
        <w:pStyle w:val="ListBullet2"/>
      </w:pPr>
      <w:r w:rsidRPr="00434621">
        <w:t>work health and safety (WHS)</w:t>
      </w:r>
    </w:p>
    <w:p w:rsidR="00000000" w:rsidRPr="00434621" w:rsidP="00434621">
      <w:pPr>
        <w:pStyle w:val="ListBullet"/>
      </w:pPr>
      <w:r w:rsidRPr="00434621">
        <w:t>pharmacology for drugs commonly used in anaesthesia, including:</w:t>
      </w:r>
    </w:p>
    <w:p w:rsidR="00000000" w:rsidRPr="00434621" w:rsidP="00434621">
      <w:pPr>
        <w:pStyle w:val="ListBullet2"/>
      </w:pPr>
      <w:r w:rsidRPr="00434621">
        <w:t>sources of drugs:</w:t>
      </w:r>
    </w:p>
    <w:p w:rsidR="00000000" w:rsidRPr="00434621" w:rsidP="00434621">
      <w:pPr>
        <w:pStyle w:val="ListBullet3"/>
      </w:pPr>
      <w:r w:rsidRPr="00434621">
        <w:t>natural</w:t>
      </w:r>
    </w:p>
    <w:p w:rsidR="00000000" w:rsidRPr="00434621" w:rsidP="00434621">
      <w:pPr>
        <w:pStyle w:val="ListBullet3"/>
      </w:pPr>
      <w:r w:rsidRPr="00434621">
        <w:t>endorphins</w:t>
      </w:r>
    </w:p>
    <w:p w:rsidR="00000000" w:rsidRPr="00434621" w:rsidP="00434621">
      <w:pPr>
        <w:pStyle w:val="ListBullet3"/>
      </w:pPr>
      <w:r w:rsidRPr="00434621">
        <w:t>synthetic</w:t>
      </w:r>
    </w:p>
    <w:p w:rsidR="00000000" w:rsidRPr="00434621" w:rsidP="00434621">
      <w:pPr>
        <w:pStyle w:val="ListBullet2"/>
      </w:pPr>
      <w:r w:rsidRPr="00434621">
        <w:t xml:space="preserve">drug nomenclature: </w:t>
      </w:r>
    </w:p>
    <w:p w:rsidR="00000000" w:rsidRPr="00434621" w:rsidP="00434621">
      <w:pPr>
        <w:pStyle w:val="ListBullet3"/>
      </w:pPr>
      <w:r w:rsidRPr="00434621">
        <w:t>chemical</w:t>
      </w:r>
    </w:p>
    <w:p w:rsidR="00000000" w:rsidRPr="00434621" w:rsidP="00434621">
      <w:pPr>
        <w:pStyle w:val="ListBullet3"/>
      </w:pPr>
      <w:r w:rsidRPr="00434621">
        <w:t>generic</w:t>
      </w:r>
    </w:p>
    <w:p w:rsidR="00000000" w:rsidRPr="00434621" w:rsidP="00434621">
      <w:pPr>
        <w:pStyle w:val="ListBullet3"/>
      </w:pPr>
      <w:r w:rsidRPr="00434621">
        <w:t>brand names</w:t>
      </w:r>
    </w:p>
    <w:p w:rsidR="00000000" w:rsidRPr="00434621" w:rsidP="00434621">
      <w:pPr>
        <w:pStyle w:val="ListBullet2"/>
      </w:pPr>
      <w:r w:rsidRPr="00434621">
        <w:t>drug classifications</w:t>
      </w:r>
    </w:p>
    <w:p w:rsidR="00000000" w:rsidRPr="00434621" w:rsidP="00434621">
      <w:pPr>
        <w:pStyle w:val="ListBullet2"/>
      </w:pPr>
      <w:r w:rsidRPr="00434621">
        <w:t>common abbreviations</w:t>
      </w:r>
    </w:p>
    <w:p w:rsidR="00000000" w:rsidRPr="00434621" w:rsidP="00434621">
      <w:pPr>
        <w:pStyle w:val="ListBullet2"/>
      </w:pPr>
      <w:r w:rsidRPr="00434621">
        <w:t>pharmacodynamics including drug receptor interactions, dose-response relationships, therapeutic index</w:t>
      </w:r>
    </w:p>
    <w:p w:rsidR="00000000" w:rsidRPr="00434621" w:rsidP="00434621">
      <w:pPr>
        <w:pStyle w:val="ListBullet2"/>
      </w:pPr>
      <w:r w:rsidRPr="00434621">
        <w:t>pharmacokinetics (ADME) absorption, distribution, metabolism, excretion</w:t>
      </w:r>
    </w:p>
    <w:p w:rsidR="00000000" w:rsidRPr="00434621" w:rsidP="00434621">
      <w:pPr>
        <w:pStyle w:val="ListBullet2"/>
      </w:pPr>
      <w:r w:rsidRPr="00434621">
        <w:t>pharmacotherapeutics</w:t>
      </w:r>
    </w:p>
    <w:p w:rsidR="00000000" w:rsidRPr="00434621" w:rsidP="00434621">
      <w:pPr>
        <w:pStyle w:val="ListBullet2"/>
      </w:pPr>
      <w:r w:rsidRPr="00434621">
        <w:t>adverse drug reactions and interactions</w:t>
      </w:r>
    </w:p>
    <w:p w:rsidR="00000000" w:rsidRPr="00434621" w:rsidP="00434621">
      <w:pPr>
        <w:pStyle w:val="ListBullet2"/>
      </w:pPr>
      <w:r w:rsidRPr="00434621">
        <w:t>toxicity or toxicolog</w:t>
      </w:r>
      <w:r w:rsidRPr="00434621">
        <w:t xml:space="preserve">y </w:t>
      </w:r>
    </w:p>
    <w:p w:rsidR="00000000" w:rsidRPr="00434621" w:rsidP="00434621">
      <w:pPr>
        <w:pStyle w:val="ListBullet"/>
      </w:pPr>
      <w:r w:rsidRPr="00434621">
        <w:t>drug administration routes:</w:t>
      </w:r>
    </w:p>
    <w:p w:rsidR="00000000" w:rsidRPr="00434621" w:rsidP="00434621">
      <w:pPr>
        <w:pStyle w:val="ListBullet2"/>
      </w:pPr>
      <w:r w:rsidRPr="00434621">
        <w:t>enteral medication including endotracheal, sublingual, buccal, rectal, vaginal, urethral</w:t>
      </w:r>
    </w:p>
    <w:p w:rsidR="00000000" w:rsidRPr="00434621" w:rsidP="00434621">
      <w:pPr>
        <w:pStyle w:val="ListBullet2"/>
      </w:pPr>
      <w:r w:rsidRPr="00434621">
        <w:t>parenteral medication including intravenous, intramuscular, intraosseous, intr</w:t>
      </w:r>
      <w:r w:rsidRPr="00434621">
        <w:t>acardiac, intraarticular, intrauterine, intrathecal, subcutaneous, intra-arterial, inhalational</w:t>
      </w:r>
    </w:p>
    <w:p w:rsidR="00000000" w:rsidRPr="00434621" w:rsidP="00434621">
      <w:pPr>
        <w:pStyle w:val="ListBullet2"/>
      </w:pPr>
      <w:r w:rsidRPr="00434621">
        <w:t>topical medication including subcutaneous, trans nasal, transdermal, ocular, inhalational, aural</w:t>
      </w:r>
    </w:p>
    <w:p w:rsidR="00000000" w:rsidRPr="00434621" w:rsidP="00434621">
      <w:pPr>
        <w:pStyle w:val="ListBullet"/>
      </w:pPr>
      <w:r w:rsidRPr="00434621">
        <w:t>formulations, including</w:t>
      </w:r>
    </w:p>
    <w:p w:rsidR="00000000" w:rsidRPr="00434621" w:rsidP="00434621">
      <w:pPr>
        <w:pStyle w:val="ListBullet2"/>
      </w:pPr>
      <w:r w:rsidRPr="00434621">
        <w:t>wafers</w:t>
      </w:r>
    </w:p>
    <w:p w:rsidR="00000000" w:rsidRPr="00434621" w:rsidP="00434621">
      <w:pPr>
        <w:pStyle w:val="ListBullet2"/>
      </w:pPr>
      <w:r w:rsidRPr="00434621">
        <w:t>tablets</w:t>
      </w:r>
    </w:p>
    <w:p w:rsidR="00000000" w:rsidRPr="00434621" w:rsidP="00434621">
      <w:pPr>
        <w:pStyle w:val="ListBullet2"/>
      </w:pPr>
      <w:r w:rsidRPr="00434621">
        <w:t>lozenges</w:t>
      </w:r>
    </w:p>
    <w:p w:rsidR="00000000" w:rsidRPr="00434621" w:rsidP="00434621">
      <w:pPr>
        <w:pStyle w:val="ListBullet2"/>
      </w:pPr>
      <w:r w:rsidRPr="00434621">
        <w:t>capsules</w:t>
      </w:r>
    </w:p>
    <w:p w:rsidR="00000000" w:rsidRPr="00434621" w:rsidP="00434621">
      <w:pPr>
        <w:pStyle w:val="ListBullet2"/>
      </w:pPr>
      <w:r w:rsidRPr="00434621">
        <w:t>elix</w:t>
      </w:r>
      <w:r w:rsidRPr="00434621">
        <w:t>ir</w:t>
      </w:r>
    </w:p>
    <w:p w:rsidR="00000000" w:rsidRPr="00434621" w:rsidP="00434621">
      <w:pPr>
        <w:pStyle w:val="ListBullet2"/>
      </w:pPr>
      <w:r w:rsidRPr="00434621">
        <w:t>suspension</w:t>
      </w:r>
    </w:p>
    <w:p w:rsidR="00000000" w:rsidRPr="00434621" w:rsidP="00434621">
      <w:pPr>
        <w:pStyle w:val="ListBullet2"/>
      </w:pPr>
      <w:r w:rsidRPr="00434621">
        <w:t>solutions</w:t>
      </w:r>
    </w:p>
    <w:p w:rsidR="00000000" w:rsidRPr="00434621" w:rsidP="00434621">
      <w:pPr>
        <w:pStyle w:val="ListBullet2"/>
      </w:pPr>
      <w:r w:rsidRPr="00434621">
        <w:t>creams</w:t>
      </w:r>
    </w:p>
    <w:p w:rsidR="00000000" w:rsidRPr="00434621" w:rsidP="00434621">
      <w:pPr>
        <w:pStyle w:val="ListBullet2"/>
      </w:pPr>
      <w:r w:rsidRPr="00434621">
        <w:t>powders</w:t>
      </w:r>
    </w:p>
    <w:p w:rsidR="00000000" w:rsidRPr="00434621" w:rsidP="00434621">
      <w:pPr>
        <w:pStyle w:val="ListBullet"/>
      </w:pPr>
      <w:r w:rsidRPr="00434621">
        <w:t xml:space="preserve">major drug groups used in anaesthesia in terms of: </w:t>
      </w:r>
    </w:p>
    <w:p w:rsidR="00000000" w:rsidRPr="00434621" w:rsidP="00434621">
      <w:pPr>
        <w:pStyle w:val="ListBullet2"/>
      </w:pPr>
      <w:r w:rsidRPr="00434621">
        <w:t xml:space="preserve">presentation </w:t>
      </w:r>
    </w:p>
    <w:p w:rsidR="00000000" w:rsidRPr="00434621" w:rsidP="00434621">
      <w:pPr>
        <w:pStyle w:val="ListBullet2"/>
      </w:pPr>
      <w:r w:rsidRPr="00434621">
        <w:t>formulation</w:t>
      </w:r>
    </w:p>
    <w:p w:rsidR="00000000" w:rsidRPr="00434621" w:rsidP="00434621">
      <w:pPr>
        <w:pStyle w:val="ListBullet2"/>
      </w:pPr>
      <w:r w:rsidRPr="00434621">
        <w:t>indication</w:t>
      </w:r>
    </w:p>
    <w:p w:rsidR="00000000" w:rsidRPr="00434621" w:rsidP="00434621">
      <w:pPr>
        <w:pStyle w:val="ListBullet2"/>
      </w:pPr>
      <w:r w:rsidRPr="00434621">
        <w:t>mode of action</w:t>
      </w:r>
    </w:p>
    <w:p w:rsidR="00000000" w:rsidRPr="00434621" w:rsidP="00434621">
      <w:pPr>
        <w:pStyle w:val="ListBullet2"/>
      </w:pPr>
      <w:r w:rsidRPr="00434621">
        <w:t>system of delivery and administration routes</w:t>
      </w:r>
    </w:p>
    <w:p w:rsidR="00000000" w:rsidRPr="00434621" w:rsidP="00434621">
      <w:pPr>
        <w:pStyle w:val="ListBullet2"/>
      </w:pPr>
      <w:r w:rsidRPr="00434621">
        <w:t>precautions</w:t>
      </w:r>
    </w:p>
    <w:p w:rsidR="00000000" w:rsidRPr="00434621" w:rsidP="00434621">
      <w:pPr>
        <w:pStyle w:val="ListBullet2"/>
      </w:pPr>
      <w:r w:rsidRPr="00434621">
        <w:t>side effects</w:t>
      </w:r>
    </w:p>
    <w:p w:rsidR="00000000" w:rsidRPr="00434621" w:rsidP="00434621">
      <w:pPr>
        <w:pStyle w:val="ListBullet2"/>
      </w:pPr>
      <w:r w:rsidRPr="00434621">
        <w:t>contraindications and adverse reactions</w:t>
      </w:r>
    </w:p>
    <w:p w:rsidR="00000000" w:rsidRPr="00434621" w:rsidP="00434621">
      <w:pPr>
        <w:pStyle w:val="ListBullet2"/>
      </w:pPr>
      <w:r w:rsidRPr="00434621">
        <w:t>storage requirements</w:t>
      </w:r>
    </w:p>
    <w:p w:rsidR="00000000" w:rsidRPr="00434621" w:rsidP="00434621">
      <w:pPr>
        <w:pStyle w:val="ListBullet"/>
      </w:pPr>
      <w:r w:rsidRPr="00434621">
        <w:t>factors influencing drug actions, storage dosage variations for different types of patients for all of the following:</w:t>
      </w:r>
    </w:p>
    <w:p w:rsidR="00000000" w:rsidRPr="00434621" w:rsidP="00434621">
      <w:pPr>
        <w:pStyle w:val="ListBullet2"/>
      </w:pPr>
      <w:r w:rsidRPr="00434621">
        <w:t>inhalational induction agents</w:t>
      </w:r>
    </w:p>
    <w:p w:rsidR="00000000" w:rsidRPr="00434621" w:rsidP="00434621">
      <w:pPr>
        <w:pStyle w:val="ListBullet2"/>
      </w:pPr>
      <w:r w:rsidRPr="00434621">
        <w:t>intravenous induction agents</w:t>
      </w:r>
    </w:p>
    <w:p w:rsidR="00000000" w:rsidRPr="00434621" w:rsidP="00434621">
      <w:pPr>
        <w:pStyle w:val="ListBullet2"/>
      </w:pPr>
      <w:r w:rsidRPr="00434621">
        <w:t>analgesics</w:t>
      </w:r>
    </w:p>
    <w:p w:rsidR="00000000" w:rsidRPr="00434621" w:rsidP="00434621">
      <w:pPr>
        <w:pStyle w:val="ListBullet2"/>
      </w:pPr>
      <w:r w:rsidRPr="00434621">
        <w:t>non-steroidal anti-inflammatory drugs (NSAID)</w:t>
      </w:r>
    </w:p>
    <w:p w:rsidR="00000000" w:rsidRPr="00434621" w:rsidP="00434621">
      <w:pPr>
        <w:pStyle w:val="ListBullet2"/>
      </w:pPr>
      <w:r w:rsidRPr="00434621">
        <w:t>anti-emetics</w:t>
      </w:r>
    </w:p>
    <w:p w:rsidR="00000000" w:rsidRPr="00434621" w:rsidP="00434621">
      <w:pPr>
        <w:pStyle w:val="ListBullet2"/>
      </w:pPr>
      <w:r w:rsidRPr="00434621">
        <w:t>muscle relaxants</w:t>
      </w:r>
    </w:p>
    <w:p w:rsidR="00000000" w:rsidRPr="00434621" w:rsidP="00434621">
      <w:pPr>
        <w:pStyle w:val="ListBullet2"/>
      </w:pPr>
      <w:r w:rsidRPr="00434621">
        <w:t>respiratory medications</w:t>
      </w:r>
    </w:p>
    <w:p w:rsidR="00000000" w:rsidRPr="00434621" w:rsidP="00434621">
      <w:pPr>
        <w:pStyle w:val="ListBullet2"/>
      </w:pPr>
      <w:r w:rsidRPr="00434621">
        <w:t>anticoagulants</w:t>
      </w:r>
    </w:p>
    <w:p w:rsidR="00000000" w:rsidRPr="00434621" w:rsidP="00434621">
      <w:pPr>
        <w:pStyle w:val="ListBullet2"/>
      </w:pPr>
      <w:r w:rsidRPr="00434621">
        <w:t>local anaesthetics including:</w:t>
      </w:r>
    </w:p>
    <w:p w:rsidR="00000000" w:rsidRPr="00434621" w:rsidP="00434621">
      <w:pPr>
        <w:pStyle w:val="ListBullet3"/>
      </w:pPr>
      <w:r w:rsidRPr="00434621">
        <w:t>epidural</w:t>
      </w:r>
    </w:p>
    <w:p w:rsidR="00000000" w:rsidRPr="00434621" w:rsidP="00434621">
      <w:pPr>
        <w:pStyle w:val="ListBullet3"/>
      </w:pPr>
      <w:r w:rsidRPr="00434621">
        <w:t>spinal</w:t>
      </w:r>
    </w:p>
    <w:p w:rsidR="00000000" w:rsidRPr="00434621" w:rsidP="00434621">
      <w:pPr>
        <w:pStyle w:val="ListBullet3"/>
      </w:pPr>
      <w:r w:rsidRPr="00434621">
        <w:t>regional wound catheters</w:t>
      </w:r>
    </w:p>
    <w:p w:rsidR="00000000" w:rsidRPr="00434621" w:rsidP="00434621">
      <w:pPr>
        <w:pStyle w:val="ListBullet2"/>
      </w:pPr>
      <w:r w:rsidRPr="00434621">
        <w:t>antibiotics</w:t>
      </w:r>
    </w:p>
    <w:p w:rsidR="00000000" w:rsidRPr="00434621" w:rsidP="00434621">
      <w:pPr>
        <w:pStyle w:val="ListBullet2"/>
      </w:pPr>
      <w:r w:rsidRPr="00434621">
        <w:t>cardiovascular medication, including diuretics</w:t>
      </w:r>
    </w:p>
    <w:p w:rsidR="00000000" w:rsidRPr="00434621" w:rsidP="00434621">
      <w:pPr>
        <w:pStyle w:val="ListBullet2"/>
      </w:pPr>
      <w:r w:rsidRPr="00434621">
        <w:t>electrolytes</w:t>
      </w:r>
    </w:p>
    <w:p w:rsidR="00000000" w:rsidRPr="00434621" w:rsidP="00434621">
      <w:pPr>
        <w:pStyle w:val="ListBullet2"/>
      </w:pPr>
      <w:r w:rsidRPr="00434621">
        <w:t>sedatives and pre-medication</w:t>
      </w:r>
    </w:p>
    <w:p w:rsidR="00000000" w:rsidRPr="00434621" w:rsidP="00434621">
      <w:pPr>
        <w:pStyle w:val="ListBullet2"/>
      </w:pPr>
      <w:r w:rsidRPr="00434621">
        <w:t>emergency medications</w:t>
      </w:r>
    </w:p>
    <w:p w:rsidR="00000000" w:rsidRPr="00434621" w:rsidP="00434621">
      <w:pPr>
        <w:pStyle w:val="ListBullet"/>
      </w:pPr>
      <w:r w:rsidRPr="00434621">
        <w:t>drugs used in the management of the following conditions which may complicate or co-exist with anaesthesia:</w:t>
      </w:r>
    </w:p>
    <w:p w:rsidR="00000000" w:rsidRPr="00434621" w:rsidP="00434621">
      <w:pPr>
        <w:pStyle w:val="ListBullet2"/>
      </w:pPr>
      <w:r w:rsidRPr="00434621">
        <w:t>adrenal dysfunction</w:t>
      </w:r>
    </w:p>
    <w:p w:rsidR="00000000" w:rsidRPr="00434621" w:rsidP="00434621">
      <w:pPr>
        <w:pStyle w:val="ListBullet2"/>
      </w:pPr>
      <w:r w:rsidRPr="00434621">
        <w:t>anaphylaxis</w:t>
      </w:r>
    </w:p>
    <w:p w:rsidR="00000000" w:rsidRPr="00434621" w:rsidP="00434621">
      <w:pPr>
        <w:pStyle w:val="ListBullet2"/>
      </w:pPr>
      <w:r w:rsidRPr="00434621">
        <w:t>angina</w:t>
      </w:r>
    </w:p>
    <w:p w:rsidR="00000000" w:rsidRPr="00434621" w:rsidP="00434621">
      <w:pPr>
        <w:pStyle w:val="ListBullet2"/>
      </w:pPr>
      <w:r w:rsidRPr="00434621">
        <w:t>bronchospasm</w:t>
      </w:r>
    </w:p>
    <w:p w:rsidR="00000000" w:rsidRPr="00434621" w:rsidP="00434621">
      <w:pPr>
        <w:pStyle w:val="ListBullet2"/>
      </w:pPr>
      <w:r w:rsidRPr="00434621">
        <w:t>cardiac arrest</w:t>
      </w:r>
    </w:p>
    <w:p w:rsidR="00000000" w:rsidRPr="00434621" w:rsidP="00434621">
      <w:pPr>
        <w:pStyle w:val="ListBullet2"/>
      </w:pPr>
      <w:r w:rsidRPr="00434621">
        <w:t>cardiac arrhythmias</w:t>
      </w:r>
    </w:p>
    <w:p w:rsidR="00000000" w:rsidRPr="00434621" w:rsidP="00434621">
      <w:pPr>
        <w:pStyle w:val="ListBullet2"/>
      </w:pPr>
      <w:r w:rsidRPr="00434621">
        <w:t>congestive heart failure</w:t>
      </w:r>
    </w:p>
    <w:p w:rsidR="00000000" w:rsidRPr="00434621" w:rsidP="00434621">
      <w:pPr>
        <w:pStyle w:val="ListBullet2"/>
      </w:pPr>
      <w:r w:rsidRPr="00434621">
        <w:t>coagulop</w:t>
      </w:r>
      <w:r w:rsidRPr="00434621">
        <w:t>athies</w:t>
      </w:r>
    </w:p>
    <w:p w:rsidR="00000000" w:rsidRPr="00434621" w:rsidP="00434621">
      <w:pPr>
        <w:pStyle w:val="ListBullet2"/>
      </w:pPr>
      <w:r w:rsidRPr="00434621">
        <w:t>deep vein thrombosis</w:t>
      </w:r>
    </w:p>
    <w:p w:rsidR="00000000" w:rsidRPr="00434621" w:rsidP="00434621">
      <w:pPr>
        <w:pStyle w:val="ListBullet2"/>
      </w:pPr>
      <w:r w:rsidRPr="00434621">
        <w:t>endocrine dysfunction</w:t>
      </w:r>
    </w:p>
    <w:p w:rsidR="00000000" w:rsidRPr="00434621" w:rsidP="00434621">
      <w:pPr>
        <w:pStyle w:val="ListBullet2"/>
      </w:pPr>
      <w:r w:rsidRPr="00434621">
        <w:t>hypoglycaemia</w:t>
      </w:r>
    </w:p>
    <w:p w:rsidR="00000000" w:rsidRPr="00434621" w:rsidP="00434621">
      <w:pPr>
        <w:pStyle w:val="ListBullet2"/>
      </w:pPr>
      <w:r w:rsidRPr="00434621">
        <w:t>hypotension</w:t>
      </w:r>
    </w:p>
    <w:p w:rsidR="00000000" w:rsidRPr="00434621" w:rsidP="00434621">
      <w:pPr>
        <w:pStyle w:val="ListBullet2"/>
      </w:pPr>
      <w:r w:rsidRPr="00434621">
        <w:t>hyperglycaemia</w:t>
      </w:r>
    </w:p>
    <w:p w:rsidR="00000000" w:rsidRPr="00434621" w:rsidP="00434621">
      <w:pPr>
        <w:pStyle w:val="ListBullet2"/>
      </w:pPr>
      <w:r w:rsidRPr="00434621">
        <w:t>hypertension</w:t>
      </w:r>
    </w:p>
    <w:p w:rsidR="00000000" w:rsidRPr="00434621" w:rsidP="00434621">
      <w:pPr>
        <w:pStyle w:val="ListBullet2"/>
      </w:pPr>
      <w:r w:rsidRPr="00434621">
        <w:t>pulmonary oedema or embolism</w:t>
      </w:r>
    </w:p>
    <w:p w:rsidR="00000000" w:rsidRPr="00434621" w:rsidP="00434621">
      <w:pPr>
        <w:pStyle w:val="ListBullet2"/>
      </w:pPr>
      <w:r w:rsidRPr="00434621">
        <w:t>raised intracranial or intra-ocular pressure</w:t>
      </w:r>
    </w:p>
    <w:p w:rsidR="00000000" w:rsidRPr="00434621" w:rsidP="00434621">
      <w:pPr>
        <w:pStyle w:val="ListBullet2"/>
      </w:pPr>
      <w:r w:rsidRPr="00434621">
        <w:t>respiratory depression or compromise</w:t>
      </w:r>
    </w:p>
    <w:p w:rsidR="00000000" w:rsidRPr="00434621" w:rsidP="00434621">
      <w:pPr>
        <w:pStyle w:val="ListBullet2"/>
      </w:pPr>
      <w:r w:rsidRPr="00434621">
        <w:t>stroke</w:t>
      </w:r>
    </w:p>
    <w:p w:rsidR="00000000" w:rsidRPr="00434621" w:rsidP="00434621">
      <w:pPr>
        <w:pStyle w:val="ListBullet2"/>
      </w:pPr>
      <w:r w:rsidRPr="00434621">
        <w:t>seizure</w:t>
      </w:r>
    </w:p>
    <w:p w:rsidR="00000000" w:rsidRPr="00434621" w:rsidP="00434621">
      <w:pPr>
        <w:pStyle w:val="ListBullet2"/>
      </w:pPr>
      <w:r w:rsidRPr="00434621">
        <w:t>uterine atony</w:t>
      </w:r>
    </w:p>
    <w:p w:rsidR="00000000" w:rsidRPr="00434621" w:rsidP="00434621">
      <w:pPr>
        <w:pStyle w:val="ListBullet2"/>
      </w:pPr>
      <w:r w:rsidRPr="00434621">
        <w:t xml:space="preserve">local anaesthetic toxicity </w:t>
      </w:r>
    </w:p>
    <w:p w:rsidR="00000000" w:rsidRPr="00434621" w:rsidP="00434621">
      <w:pPr>
        <w:pStyle w:val="ListBullet"/>
      </w:pPr>
      <w:r w:rsidRPr="00434621">
        <w:t>methods of drug preparation, including:</w:t>
      </w:r>
    </w:p>
    <w:p w:rsidR="00000000" w:rsidRPr="00434621" w:rsidP="00434621">
      <w:pPr>
        <w:pStyle w:val="ListBullet2"/>
      </w:pPr>
      <w:r w:rsidRPr="00434621">
        <w:t>dilutions</w:t>
      </w:r>
    </w:p>
    <w:p w:rsidR="00000000" w:rsidRPr="00434621" w:rsidP="00434621">
      <w:pPr>
        <w:pStyle w:val="ListBullet2"/>
      </w:pPr>
      <w:r w:rsidRPr="00434621">
        <w:t>reconstitutions</w:t>
      </w:r>
    </w:p>
    <w:p w:rsidR="00000000" w:rsidRPr="00434621" w:rsidP="00434621">
      <w:pPr>
        <w:pStyle w:val="ListBullet"/>
      </w:pPr>
      <w:r w:rsidRPr="00434621">
        <w:t>factors to consider when calculating medication dosages including:</w:t>
      </w:r>
    </w:p>
    <w:p w:rsidR="00000000" w:rsidRPr="00434621" w:rsidP="00434621">
      <w:pPr>
        <w:pStyle w:val="ListBullet2"/>
      </w:pPr>
      <w:r w:rsidRPr="00434621">
        <w:t>calculation formulae</w:t>
      </w:r>
    </w:p>
    <w:p w:rsidR="00000000" w:rsidRPr="00434621" w:rsidP="00434621">
      <w:pPr>
        <w:pStyle w:val="ListBullet2"/>
      </w:pPr>
      <w:r w:rsidRPr="00434621">
        <w:t>calculation of dosages of injectable drugs including liquid, solid and</w:t>
      </w:r>
      <w:r w:rsidRPr="00434621">
        <w:t xml:space="preserve"> unit dosages</w:t>
      </w:r>
    </w:p>
    <w:p w:rsidR="00000000" w:rsidRPr="00434621" w:rsidP="00434621">
      <w:pPr>
        <w:pStyle w:val="ListBullet2"/>
      </w:pPr>
      <w:r w:rsidRPr="00434621">
        <w:t>flow rate drops per minute</w:t>
      </w:r>
    </w:p>
    <w:p w:rsidR="00000000" w:rsidRPr="00434621" w:rsidP="00434621">
      <w:pPr>
        <w:pStyle w:val="ListBullet2"/>
      </w:pPr>
      <w:r w:rsidRPr="00434621">
        <w:t>flow rate millilitres per hour</w:t>
      </w:r>
    </w:p>
    <w:p w:rsidR="00000000" w:rsidRPr="00434621" w:rsidP="00434621">
      <w:pPr>
        <w:pStyle w:val="ListBullet2"/>
      </w:pPr>
      <w:r w:rsidRPr="00434621">
        <w:t>duration of infusion</w:t>
      </w:r>
    </w:p>
    <w:p w:rsidR="00000000" w:rsidRPr="00434621" w:rsidP="00434621">
      <w:pPr>
        <w:pStyle w:val="ListBullet2"/>
      </w:pPr>
      <w:r w:rsidRPr="00434621">
        <w:t>paediatric dosage calculations:</w:t>
      </w:r>
    </w:p>
    <w:p w:rsidR="00000000" w:rsidRPr="00434621" w:rsidP="00434621">
      <w:pPr>
        <w:pStyle w:val="ListBullet3"/>
      </w:pPr>
      <w:r w:rsidRPr="00434621">
        <w:t>body weight</w:t>
      </w:r>
    </w:p>
    <w:p w:rsidR="00000000" w:rsidRPr="00434621" w:rsidP="00434621">
      <w:pPr>
        <w:pStyle w:val="ListBullet3"/>
      </w:pPr>
      <w:r w:rsidRPr="00434621">
        <w:t>surface area</w:t>
      </w:r>
    </w:p>
    <w:p w:rsidR="00000000" w:rsidRPr="00434621" w:rsidP="00434621">
      <w:pPr>
        <w:pStyle w:val="ListBullet3"/>
      </w:pPr>
      <w:r w:rsidRPr="00434621">
        <w:t>age related dose reduction</w:t>
      </w:r>
    </w:p>
    <w:p w:rsidR="00000000" w:rsidRPr="00434621" w:rsidP="00434621">
      <w:pPr>
        <w:pStyle w:val="ListBullet2"/>
      </w:pPr>
      <w:r w:rsidRPr="00434621">
        <w:t>geriatric dosage calculations:</w:t>
      </w:r>
    </w:p>
    <w:p w:rsidR="00000000" w:rsidRPr="00434621" w:rsidP="00434621">
      <w:pPr>
        <w:pStyle w:val="ListBullet3"/>
      </w:pPr>
      <w:r w:rsidRPr="00434621">
        <w:t>body weight</w:t>
      </w:r>
    </w:p>
    <w:p w:rsidR="00000000" w:rsidRPr="00434621" w:rsidP="00434621">
      <w:pPr>
        <w:pStyle w:val="ListBullet3"/>
      </w:pPr>
      <w:r w:rsidRPr="00434621">
        <w:t xml:space="preserve">surface area </w:t>
      </w:r>
    </w:p>
    <w:p w:rsidR="00000000" w:rsidRPr="00434621" w:rsidP="00434621">
      <w:pPr>
        <w:pStyle w:val="ListBullet3"/>
      </w:pPr>
      <w:r w:rsidRPr="00434621">
        <w:t>age</w:t>
      </w:r>
    </w:p>
    <w:p w:rsidR="00000000" w:rsidRPr="00434621" w:rsidP="00434621">
      <w:pPr>
        <w:pStyle w:val="ListBullet"/>
      </w:pPr>
      <w:r w:rsidRPr="00434621">
        <w:t>methods of storage and handling of medication</w:t>
      </w:r>
    </w:p>
    <w:p w:rsidR="00000000" w:rsidRPr="00434621" w:rsidP="00434621">
      <w:pPr>
        <w:pStyle w:val="ListBullet"/>
      </w:pPr>
      <w:r w:rsidRPr="00434621">
        <w:t>equipment for administration of medications, including:</w:t>
      </w:r>
    </w:p>
    <w:p w:rsidR="00000000" w:rsidRPr="00434621" w:rsidP="00434621">
      <w:pPr>
        <w:pStyle w:val="ListBullet2"/>
      </w:pPr>
      <w:r w:rsidRPr="00434621">
        <w:t>volumetric pumps</w:t>
      </w:r>
    </w:p>
    <w:p w:rsidR="00000000" w:rsidRPr="00434621" w:rsidP="00434621">
      <w:pPr>
        <w:pStyle w:val="ListBullet2"/>
      </w:pPr>
      <w:r w:rsidRPr="00434621">
        <w:t>syringe drivers</w:t>
      </w:r>
    </w:p>
    <w:p w:rsidR="00000000" w:rsidRPr="00434621" w:rsidP="00434621">
      <w:pPr>
        <w:pStyle w:val="ListBullet2"/>
      </w:pPr>
      <w:r w:rsidRPr="00434621">
        <w:t>consumables</w:t>
      </w:r>
    </w:p>
    <w:p w:rsidR="00000000" w:rsidRPr="00434621" w:rsidP="00434621">
      <w:pPr>
        <w:pStyle w:val="ListBullet"/>
      </w:pPr>
      <w:r w:rsidRPr="00434621">
        <w:t>infusion products and equipment:</w:t>
      </w:r>
    </w:p>
    <w:p w:rsidR="00000000" w:rsidRPr="00434621" w:rsidP="00434621">
      <w:pPr>
        <w:pStyle w:val="ListBullet2"/>
      </w:pPr>
      <w:r w:rsidRPr="00434621">
        <w:t>rapid infusers</w:t>
      </w:r>
    </w:p>
    <w:p w:rsidR="00000000" w:rsidRPr="00434621" w:rsidP="00434621">
      <w:pPr>
        <w:pStyle w:val="ListBullet2"/>
      </w:pPr>
      <w:r w:rsidRPr="00434621">
        <w:t>warming devices</w:t>
      </w:r>
    </w:p>
    <w:p w:rsidR="00000000" w:rsidRPr="00434621" w:rsidP="00434621">
      <w:pPr>
        <w:pStyle w:val="ListBullet2"/>
      </w:pPr>
      <w:r w:rsidRPr="00434621">
        <w:t>burettes</w:t>
      </w:r>
    </w:p>
    <w:p w:rsidR="00000000" w:rsidRPr="00434621" w:rsidP="00434621">
      <w:pPr>
        <w:pStyle w:val="ListBullet2"/>
      </w:pPr>
      <w:r w:rsidRPr="00434621">
        <w:t>vaporisers</w:t>
      </w:r>
    </w:p>
    <w:p w:rsidR="00000000" w:rsidRPr="00434621" w:rsidP="00434621">
      <w:pPr>
        <w:pStyle w:val="ListBullet2"/>
      </w:pPr>
      <w:r w:rsidRPr="00434621">
        <w:t>infusion sets and attachments</w:t>
      </w:r>
    </w:p>
    <w:p w:rsidR="00000000" w:rsidRPr="00434621" w:rsidP="00434621">
      <w:pPr>
        <w:pStyle w:val="ListBullet2"/>
      </w:pPr>
      <w:r w:rsidRPr="00434621">
        <w:t>blood and blood products</w:t>
      </w:r>
    </w:p>
    <w:p w:rsidR="00000000" w:rsidRPr="00434621" w:rsidP="00434621">
      <w:pPr>
        <w:pStyle w:val="ListBullet2"/>
      </w:pPr>
      <w:r w:rsidRPr="00434621">
        <w:t>crystalloids</w:t>
      </w:r>
    </w:p>
    <w:p w:rsidR="00000000" w:rsidRPr="00434621" w:rsidP="00434621">
      <w:pPr>
        <w:pStyle w:val="ListBullet2"/>
      </w:pPr>
      <w:r w:rsidRPr="00434621">
        <w:t>colloids</w:t>
      </w:r>
    </w:p>
    <w:p w:rsidR="00000000" w:rsidRPr="00434621" w:rsidP="00434621">
      <w:pPr>
        <w:pStyle w:val="ListBullet"/>
      </w:pPr>
      <w:r w:rsidRPr="00434621">
        <w:t>massive transfusion protocol</w:t>
      </w:r>
    </w:p>
    <w:p w:rsidR="00000000" w:rsidRPr="00434621" w:rsidP="00434621">
      <w:pPr>
        <w:pStyle w:val="ListBullet"/>
      </w:pPr>
      <w:r w:rsidRPr="00434621">
        <w:t>emergency medical management of anaphylaxis and adverse drug or fluid reactions</w:t>
      </w:r>
    </w:p>
    <w:p w:rsidR="00000000" w:rsidRPr="00434621" w:rsidP="00434621">
      <w:pPr>
        <w:pStyle w:val="ListBullet"/>
      </w:pPr>
      <w:r w:rsidRPr="00434621">
        <w:t>biological fluid exposure.</w:t>
      </w:r>
    </w:p>
    <w:p w:rsidR="00000000" w:rsidRPr="00434621" w:rsidP="00434621">
      <w:pPr>
        <w:pStyle w:val="AllowPageBreak"/>
      </w:pPr>
    </w:p>
    <w:p w:rsidR="00000000" w:rsidRPr="00434621" w:rsidP="00434621">
      <w:pPr>
        <w:pStyle w:val="Heading1"/>
      </w:pPr>
      <w:bookmarkStart w:id="4" w:name="O_1199017"/>
      <w:bookmarkEnd w:id="4"/>
      <w:r w:rsidRPr="00434621">
        <w:t>Assessment Conditions</w:t>
      </w:r>
    </w:p>
    <w:p w:rsidR="00000000" w:rsidRPr="00434621" w:rsidP="007C0A9F">
      <w:pPr>
        <w:pStyle w:val="BodyText"/>
      </w:pPr>
      <w:r w:rsidRPr="00434621">
        <w:t xml:space="preserve">Skills must be demonstrated in the workplace with the addition of simulations and scenarios where the full range of contexts and situations have not been provided in the workplace. </w:t>
      </w:r>
    </w:p>
    <w:p w:rsidR="00000000" w:rsidRPr="00434621" w:rsidP="007C0A9F">
      <w:pPr>
        <w:pStyle w:val="BodyText"/>
      </w:pPr>
      <w:r w:rsidRPr="00434621">
        <w:t>Assessment must ensure access to:</w:t>
      </w:r>
    </w:p>
    <w:p w:rsidR="00000000" w:rsidRPr="00434621" w:rsidP="00434621">
      <w:pPr>
        <w:pStyle w:val="ListBullet"/>
      </w:pPr>
      <w:r w:rsidRPr="00434621">
        <w:t>use of suitable facilities, equipment a</w:t>
      </w:r>
      <w:r w:rsidRPr="00434621">
        <w:t xml:space="preserve">nd resources, including: </w:t>
      </w:r>
    </w:p>
    <w:p w:rsidR="00000000" w:rsidRPr="00434621" w:rsidP="00434621">
      <w:pPr>
        <w:pStyle w:val="ListBullet2"/>
      </w:pPr>
      <w:r w:rsidRPr="00434621">
        <w:t>manufacturer’s instructions</w:t>
      </w:r>
    </w:p>
    <w:p w:rsidR="00000000" w:rsidRPr="00434621" w:rsidP="00434621">
      <w:pPr>
        <w:pStyle w:val="ListBullet2"/>
      </w:pPr>
      <w:r w:rsidRPr="00434621">
        <w:t xml:space="preserve">organisational policies and procedures </w:t>
      </w:r>
    </w:p>
    <w:p w:rsidR="00000000" w:rsidRPr="00434621" w:rsidP="00434621">
      <w:pPr>
        <w:pStyle w:val="ListBullet2"/>
      </w:pPr>
      <w:r w:rsidRPr="00434621">
        <w:t>Monthly Index of Medical Specialities (MIMS)</w:t>
      </w:r>
    </w:p>
    <w:p w:rsidR="00000000" w:rsidRPr="00434621" w:rsidP="00434621">
      <w:pPr>
        <w:pStyle w:val="ListBullet2"/>
      </w:pPr>
      <w:r w:rsidRPr="00434621">
        <w:t>Australian and New Zealand Society of Blood Transfusion (ANZSBT) and Australian and New Zealand College of Anaesthet</w:t>
      </w:r>
      <w:r w:rsidRPr="00434621">
        <w:t>ists (ANZCA) guidelines</w:t>
      </w:r>
    </w:p>
    <w:p w:rsidR="00000000" w:rsidRPr="00434621" w:rsidP="00434621">
      <w:pPr>
        <w:pStyle w:val="ListBullet2"/>
      </w:pPr>
      <w:r w:rsidRPr="00434621">
        <w:t>medications</w:t>
      </w:r>
    </w:p>
    <w:p w:rsidR="00000000" w:rsidRPr="00434621" w:rsidP="00434621">
      <w:pPr>
        <w:pStyle w:val="ListBullet"/>
      </w:pPr>
      <w:r w:rsidRPr="00434621">
        <w:t>modelling of industry operating conditions, including presence of situations requiring problem solving in non-routine situations.</w:t>
      </w:r>
    </w:p>
    <w:p w:rsidR="00000000" w:rsidRPr="00434621" w:rsidP="007C0A9F">
      <w:pPr>
        <w:pStyle w:val="BodyText"/>
      </w:pPr>
      <w:r w:rsidRPr="00434621">
        <w:t xml:space="preserve">Assessors must satisfy the Standards for Registered Training Organisations’ requirements </w:t>
      </w:r>
      <w:r w:rsidRPr="00434621">
        <w:t>for assessors.</w:t>
      </w:r>
    </w:p>
    <w:p w:rsidR="00000000" w:rsidRPr="00434621" w:rsidP="00434621">
      <w:pPr>
        <w:pStyle w:val="Heading1"/>
      </w:pPr>
      <w:bookmarkStart w:id="5" w:name="O_1199020"/>
      <w:bookmarkEnd w:id="5"/>
      <w:r w:rsidRPr="00434621">
        <w:t>Links</w:t>
      </w:r>
    </w:p>
    <w:p w:rsidR="00000000" w:rsidRPr="00434621" w:rsidP="007C0A9F">
      <w:pPr>
        <w:pStyle w:val="BodyText"/>
      </w:pPr>
      <w:r w:rsidRPr="004346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34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34621" w:rsidP="00434621"/>
    <w:sectPr w:rsidSect="00434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1" w:rsidRPr="007C0A9F" w:rsidP="007C0A9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A9F" w:rsidP="00434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A9F" w:rsidP="00434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0A9F" w:rsidP="00434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621" w:rsidRPr="007C0A9F" w:rsidP="007C0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A9F" w:rsidRPr="002D2AF8" w:rsidP="00434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HLTANA014 Monitor medications in the anaesthetic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C0A9F" w:rsidP="00434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00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A3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FE4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621"/>
  </w:style>
  <w:style w:type="character" w:customStyle="1" w:styleId="Heading1Char">
    <w:name w:val="Heading 1 Char"/>
    <w:basedOn w:val="DefaultParagraphFont"/>
    <w:link w:val="Heading1"/>
    <w:rsid w:val="00434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6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46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46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4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4621"/>
    <w:rPr>
      <w:b/>
      <w:spacing w:val="0"/>
    </w:rPr>
  </w:style>
  <w:style w:type="paragraph" w:customStyle="1" w:styleId="SuperTitle">
    <w:name w:val="SuperTitle"/>
    <w:basedOn w:val="Title"/>
    <w:rsid w:val="00434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621"/>
    <w:rPr>
      <w:i/>
    </w:rPr>
  </w:style>
  <w:style w:type="paragraph" w:styleId="Caption">
    <w:name w:val="caption"/>
    <w:basedOn w:val="BodyText"/>
    <w:next w:val="Normal"/>
    <w:qFormat/>
    <w:rsid w:val="00434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621"/>
  </w:style>
  <w:style w:type="paragraph" w:styleId="TableofFigures">
    <w:name w:val="table of figures"/>
    <w:basedOn w:val="Normal"/>
    <w:next w:val="Normal"/>
    <w:semiHidden/>
    <w:rsid w:val="00434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6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4621"/>
    <w:rPr>
      <w:rFonts w:ascii="Wingdings" w:hAnsi="Wingdings"/>
    </w:rPr>
  </w:style>
  <w:style w:type="paragraph" w:customStyle="1" w:styleId="TableHeading">
    <w:name w:val="Table Heading"/>
    <w:basedOn w:val="HeadingBase"/>
    <w:rsid w:val="00434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621"/>
    <w:rPr>
      <w:color w:val="0033CC"/>
      <w:u w:val="none"/>
    </w:rPr>
  </w:style>
  <w:style w:type="paragraph" w:customStyle="1" w:styleId="BodyTextRight">
    <w:name w:val="Body Text Right"/>
    <w:basedOn w:val="BodyText"/>
    <w:rsid w:val="00434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6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621"/>
    <w:rPr>
      <w:sz w:val="32"/>
    </w:rPr>
  </w:style>
  <w:style w:type="paragraph" w:customStyle="1" w:styleId="HeadingProcedure">
    <w:name w:val="Heading Procedure"/>
    <w:basedOn w:val="HeadingBase"/>
    <w:next w:val="Normal"/>
    <w:rsid w:val="00434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621"/>
    <w:pPr>
      <w:spacing w:before="60" w:after="60"/>
    </w:pPr>
  </w:style>
  <w:style w:type="paragraph" w:styleId="ListContinue">
    <w:name w:val="List Continue"/>
    <w:basedOn w:val="List"/>
    <w:rsid w:val="00434621"/>
    <w:pPr>
      <w:ind w:firstLine="0"/>
    </w:pPr>
  </w:style>
  <w:style w:type="paragraph" w:customStyle="1" w:styleId="ListNote">
    <w:name w:val="List Note"/>
    <w:basedOn w:val="List"/>
    <w:rsid w:val="00434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621"/>
    <w:rPr>
      <w:rFonts w:ascii="Courier New" w:hAnsi="Courier New"/>
    </w:rPr>
  </w:style>
  <w:style w:type="paragraph" w:customStyle="1" w:styleId="NoteBullet">
    <w:name w:val="Note Bullet"/>
    <w:basedOn w:val="Note"/>
    <w:rsid w:val="00434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6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4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621"/>
    <w:rPr>
      <w:b/>
      <w:smallCaps/>
    </w:rPr>
  </w:style>
  <w:style w:type="paragraph" w:customStyle="1" w:styleId="TableListNumber">
    <w:name w:val="Table List Number"/>
    <w:basedOn w:val="ListNumber"/>
    <w:rsid w:val="00434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621"/>
    <w:pPr>
      <w:numPr>
        <w:numId w:val="10"/>
      </w:numPr>
    </w:pPr>
  </w:style>
  <w:style w:type="paragraph" w:customStyle="1" w:styleId="ListAlpha2">
    <w:name w:val="List Alpha 2"/>
    <w:basedOn w:val="List2"/>
    <w:rsid w:val="00434621"/>
    <w:pPr>
      <w:numPr>
        <w:numId w:val="9"/>
      </w:numPr>
    </w:pPr>
  </w:style>
  <w:style w:type="paragraph" w:styleId="List2">
    <w:name w:val="List 2"/>
    <w:basedOn w:val="BodyText"/>
    <w:rsid w:val="00434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6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46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4621"/>
    <w:pPr>
      <w:numPr>
        <w:numId w:val="5"/>
      </w:numPr>
    </w:pPr>
  </w:style>
  <w:style w:type="paragraph" w:styleId="ListContinue2">
    <w:name w:val="List Continue 2"/>
    <w:basedOn w:val="List2"/>
    <w:rsid w:val="00434621"/>
    <w:pPr>
      <w:ind w:firstLine="0"/>
    </w:pPr>
  </w:style>
  <w:style w:type="paragraph" w:styleId="ListContinue3">
    <w:name w:val="List Continue 3"/>
    <w:basedOn w:val="List3"/>
    <w:rsid w:val="00434621"/>
    <w:pPr>
      <w:ind w:left="1021" w:firstLine="0"/>
    </w:pPr>
  </w:style>
  <w:style w:type="paragraph" w:styleId="ListContinue4">
    <w:name w:val="List Continue 4"/>
    <w:basedOn w:val="List4"/>
    <w:rsid w:val="00434621"/>
    <w:pPr>
      <w:ind w:firstLine="0"/>
    </w:pPr>
  </w:style>
  <w:style w:type="paragraph" w:styleId="ListContinue5">
    <w:name w:val="List Continue 5"/>
    <w:basedOn w:val="List5"/>
    <w:rsid w:val="00434621"/>
    <w:pPr>
      <w:ind w:firstLine="0"/>
    </w:pPr>
  </w:style>
  <w:style w:type="paragraph" w:styleId="ListNumber3">
    <w:name w:val="List Number 3"/>
    <w:basedOn w:val="List3"/>
    <w:rsid w:val="00434621"/>
    <w:pPr>
      <w:numPr>
        <w:numId w:val="6"/>
      </w:numPr>
    </w:pPr>
  </w:style>
  <w:style w:type="paragraph" w:styleId="ListNumber4">
    <w:name w:val="List Number 4"/>
    <w:basedOn w:val="List4"/>
    <w:rsid w:val="00434621"/>
    <w:pPr>
      <w:numPr>
        <w:numId w:val="7"/>
      </w:numPr>
    </w:pPr>
  </w:style>
  <w:style w:type="paragraph" w:styleId="ListNumber5">
    <w:name w:val="List Number 5"/>
    <w:basedOn w:val="List5"/>
    <w:rsid w:val="00434621"/>
    <w:pPr>
      <w:numPr>
        <w:numId w:val="8"/>
      </w:numPr>
    </w:pPr>
  </w:style>
  <w:style w:type="paragraph" w:styleId="BlockText">
    <w:name w:val="Block Text"/>
    <w:basedOn w:val="Normal"/>
    <w:rsid w:val="00434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621"/>
    <w:rPr>
      <w:sz w:val="16"/>
      <w:vertAlign w:val="superscript"/>
    </w:rPr>
  </w:style>
  <w:style w:type="character" w:customStyle="1" w:styleId="Symbols">
    <w:name w:val="Symbols"/>
    <w:basedOn w:val="DefaultParagraphFont"/>
    <w:rsid w:val="00434621"/>
    <w:rPr>
      <w:rFonts w:ascii="Symbol" w:hAnsi="Symbol"/>
    </w:rPr>
  </w:style>
  <w:style w:type="character" w:customStyle="1" w:styleId="MenuOptions">
    <w:name w:val="Menu Options"/>
    <w:basedOn w:val="DefaultParagraphFont"/>
    <w:rsid w:val="00434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621"/>
    <w:rPr>
      <w:b/>
    </w:rPr>
  </w:style>
  <w:style w:type="character" w:customStyle="1" w:styleId="Underlined">
    <w:name w:val="Underlined"/>
    <w:basedOn w:val="DefaultParagraphFont"/>
    <w:rsid w:val="00434621"/>
    <w:rPr>
      <w:u w:val="single"/>
    </w:rPr>
  </w:style>
  <w:style w:type="paragraph" w:customStyle="1" w:styleId="TableBodyTextRight">
    <w:name w:val="Table Body Text Right"/>
    <w:basedOn w:val="TableBodyText"/>
    <w:rsid w:val="00434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621"/>
    <w:rPr>
      <w:sz w:val="18"/>
    </w:rPr>
  </w:style>
  <w:style w:type="paragraph" w:customStyle="1" w:styleId="BodySmallRight">
    <w:name w:val="Body Small Right"/>
    <w:basedOn w:val="BodyTextRight"/>
    <w:rsid w:val="00434621"/>
    <w:rPr>
      <w:sz w:val="18"/>
      <w:szCs w:val="18"/>
    </w:rPr>
  </w:style>
  <w:style w:type="paragraph" w:customStyle="1" w:styleId="MarginEdition">
    <w:name w:val="Margin Edition"/>
    <w:basedOn w:val="MarginNote"/>
    <w:rsid w:val="00434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621"/>
    <w:rPr>
      <w:sz w:val="2"/>
      <w:szCs w:val="2"/>
    </w:rPr>
  </w:style>
  <w:style w:type="character" w:customStyle="1" w:styleId="Small">
    <w:name w:val="Small"/>
    <w:basedOn w:val="DefaultParagraphFont"/>
    <w:rsid w:val="00434621"/>
    <w:rPr>
      <w:sz w:val="16"/>
    </w:rPr>
  </w:style>
  <w:style w:type="paragraph" w:customStyle="1" w:styleId="WideTable">
    <w:name w:val="Wide Table"/>
    <w:basedOn w:val="Normal"/>
    <w:rsid w:val="00434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621"/>
  </w:style>
  <w:style w:type="paragraph" w:styleId="Quote">
    <w:name w:val="Quote"/>
    <w:basedOn w:val="Heading1"/>
    <w:link w:val="QuoteChar"/>
    <w:qFormat/>
    <w:rsid w:val="00434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621"/>
    <w:pPr>
      <w:pageBreakBefore/>
    </w:pPr>
  </w:style>
  <w:style w:type="paragraph" w:customStyle="1" w:styleId="Border">
    <w:name w:val="Border"/>
    <w:basedOn w:val="Normal"/>
    <w:qFormat/>
    <w:rsid w:val="00434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621"/>
    <w:rPr>
      <w:u w:val="single"/>
    </w:rPr>
  </w:style>
  <w:style w:type="character" w:customStyle="1" w:styleId="BoldandItalics">
    <w:name w:val="Bold and Italics"/>
    <w:qFormat/>
    <w:rsid w:val="00434621"/>
    <w:rPr>
      <w:b/>
      <w:i/>
      <w:u w:val="none"/>
    </w:rPr>
  </w:style>
  <w:style w:type="paragraph" w:styleId="BalloonText">
    <w:name w:val="Balloon Text"/>
    <w:basedOn w:val="Normal"/>
    <w:link w:val="BalloonTextChar"/>
    <w:rsid w:val="00434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621"/>
    <w:pPr>
      <w:spacing w:before="0" w:after="0"/>
    </w:pPr>
  </w:style>
  <w:style w:type="paragraph" w:customStyle="1" w:styleId="BodyTextBold">
    <w:name w:val="Body Text Bold"/>
    <w:basedOn w:val="BodyText"/>
    <w:qFormat/>
    <w:rsid w:val="00434621"/>
    <w:rPr>
      <w:b/>
    </w:rPr>
  </w:style>
  <w:style w:type="character" w:styleId="Hyperlink">
    <w:name w:val="Hyperlink"/>
    <w:basedOn w:val="DefaultParagraphFont"/>
    <w:uiPriority w:val="99"/>
    <w:unhideWhenUsed/>
    <w:rsid w:val="007C0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5504</Characters>
  <Application>Microsoft Office Word</Application>
  <DocSecurity>0</DocSecurity>
  <Lines>189</Lines>
  <Paragraphs>178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HLTANA014 Monitor medications in the anaesthetic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2023-07-02T02:33:00Z</dcterms:created>
  <dcterms:modified xsi:type="dcterms:W3CDTF">2023-07-02T02:33:00Z</dcterms:modified>
</cp:coreProperties>
</file>