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1FE" w:rsidP="00D451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HLTANA013 Assist with clinical procedures used in anaesthesia</w:t>
      </w:r>
      <w:r>
        <w:fldChar w:fldCharType="end"/>
      </w:r>
    </w:p>
    <w:p w:rsidR="00D451FE" w:rsidP="00D451FE">
      <w:pPr>
        <w:pStyle w:val="Version"/>
        <w:sectPr w:rsidSect="009B1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D03" w:rsidP="009B1D03">
      <w:pPr>
        <w:pStyle w:val="SuperHeading"/>
      </w:pPr>
      <w:r w:rsidRPr="009B1D03">
        <w:t>HLTANA013 Assist with clinical procedures used in anaesthesia</w:t>
      </w:r>
    </w:p>
    <w:p w:rsidR="00000000" w:rsidRPr="009B1D03" w:rsidP="009B1D03">
      <w:pPr>
        <w:pStyle w:val="Heading1"/>
      </w:pPr>
      <w:bookmarkStart w:id="1" w:name="O_1198985"/>
      <w:bookmarkEnd w:id="1"/>
      <w:r w:rsidRPr="009B1D03">
        <w:t>Modification History</w:t>
      </w:r>
    </w:p>
    <w:p w:rsidR="00000000" w:rsidRPr="009B1D03" w:rsidP="00D451FE">
      <w:pPr>
        <w:pStyle w:val="BodyText"/>
      </w:pPr>
      <w:r w:rsidRPr="009B1D03">
        <w:t>Supersedes and is not equivalent to HLTANA006 Assist with clinical procedures used in anaesthesia.</w:t>
      </w:r>
    </w:p>
    <w:p w:rsidR="00000000" w:rsidRPr="009B1D03" w:rsidP="009B1D03">
      <w:pPr>
        <w:pStyle w:val="Heading1"/>
      </w:pPr>
      <w:bookmarkStart w:id="2" w:name="O_1198986"/>
      <w:bookmarkEnd w:id="2"/>
      <w:r w:rsidRPr="009B1D03">
        <w:t>Application</w:t>
      </w:r>
    </w:p>
    <w:p w:rsidR="00000000" w:rsidRPr="009B1D03" w:rsidP="00D451FE">
      <w:pPr>
        <w:pStyle w:val="BodyText"/>
      </w:pPr>
      <w:r w:rsidRPr="009B1D03">
        <w:t>This unit describes the skills and knowledge required to plan and prepare for anaesthesia for a range of surgical specialities, and provide assistance to the anaesthetist during regional anaesthesia, invasive monitoring and other anaesthetic related proced</w:t>
      </w:r>
      <w:r w:rsidRPr="009B1D03">
        <w:t>ures. It includes the ability to prepare and monitor both patient and equipment during the procedure.</w:t>
      </w:r>
    </w:p>
    <w:p w:rsidR="00000000" w:rsidRPr="009B1D03" w:rsidP="00D451FE">
      <w:pPr>
        <w:pStyle w:val="BodyText"/>
      </w:pPr>
      <w:r w:rsidRPr="009B1D03">
        <w:t>This unit applies to anaesthetic technicians working under the direction of, and in consultation with, an anaesthetist in any hospital or day surgery sett</w:t>
      </w:r>
      <w:r w:rsidRPr="009B1D03">
        <w:t xml:space="preserve">ing. </w:t>
      </w:r>
    </w:p>
    <w:p w:rsidR="00000000" w:rsidRPr="009B1D03" w:rsidP="00D451FE">
      <w:pPr>
        <w:pStyle w:val="BodyText"/>
      </w:pPr>
      <w:r w:rsidRPr="009B1D03">
        <w:t>The skills in this unit must be applied in accordance with Commonwealth and State or Territory legislation, Australian standards and industry codes of practice.</w:t>
      </w:r>
    </w:p>
    <w:p w:rsidR="00000000" w:rsidRPr="009B1D03" w:rsidP="00D451FE">
      <w:pPr>
        <w:pStyle w:val="BodyText"/>
      </w:pPr>
      <w:r w:rsidRPr="009B1D03">
        <w:t>No occupational licensing, certification or specific legislative requirements apply to th</w:t>
      </w:r>
      <w:r w:rsidRPr="009B1D03">
        <w:t>is unit at the time of publication.</w:t>
      </w:r>
    </w:p>
    <w:p w:rsidR="00000000" w:rsidRPr="009B1D03" w:rsidP="009B1D03">
      <w:pPr>
        <w:pStyle w:val="Heading1"/>
      </w:pPr>
      <w:bookmarkStart w:id="3" w:name="O_1198987"/>
      <w:bookmarkEnd w:id="3"/>
      <w:r w:rsidRPr="009B1D03">
        <w:t>Pre-requisite Unit</w:t>
      </w:r>
    </w:p>
    <w:p w:rsidR="00000000" w:rsidRPr="009B1D03" w:rsidP="00D451FE">
      <w:pPr>
        <w:pStyle w:val="BodyText"/>
      </w:pPr>
      <w:r w:rsidRPr="009B1D03">
        <w:t xml:space="preserve">Nil </w:t>
      </w:r>
    </w:p>
    <w:p w:rsidR="00000000" w:rsidRPr="009B1D03" w:rsidP="009B1D03">
      <w:pPr>
        <w:pStyle w:val="Heading1"/>
      </w:pPr>
      <w:bookmarkStart w:id="4" w:name="O_1198988"/>
      <w:bookmarkEnd w:id="4"/>
      <w:r w:rsidRPr="009B1D03">
        <w:t>Competency Field</w:t>
      </w:r>
    </w:p>
    <w:p w:rsidR="00000000" w:rsidRPr="009B1D03" w:rsidP="00D451FE">
      <w:pPr>
        <w:pStyle w:val="BodyText"/>
      </w:pPr>
      <w:r w:rsidRPr="009B1D03">
        <w:t>Anaesthetic Technology</w:t>
      </w:r>
    </w:p>
    <w:p w:rsidR="00000000" w:rsidRPr="009B1D03" w:rsidP="009B1D03">
      <w:pPr>
        <w:pStyle w:val="Heading1"/>
      </w:pPr>
      <w:bookmarkStart w:id="5" w:name="O_1198989"/>
      <w:bookmarkEnd w:id="5"/>
      <w:r w:rsidRPr="009B1D03">
        <w:t>Unit Sector</w:t>
      </w:r>
    </w:p>
    <w:p w:rsidR="00000000" w:rsidRPr="009B1D03" w:rsidP="00D451FE">
      <w:pPr>
        <w:pStyle w:val="BodyText"/>
      </w:pPr>
      <w:r w:rsidRPr="009B1D03">
        <w:t>Health</w:t>
      </w:r>
    </w:p>
    <w:p w:rsidR="00000000" w:rsidRPr="009B1D03" w:rsidP="009B1D03">
      <w:pPr>
        <w:pStyle w:val="Heading1"/>
      </w:pPr>
      <w:bookmarkStart w:id="6" w:name="O_1198990"/>
      <w:bookmarkEnd w:id="6"/>
      <w:r w:rsidRPr="009B1D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2"/>
      </w:tblGrid>
      <w:tr w:rsidTr="009B1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03" w:rsidP="009B1D03">
            <w:pPr>
              <w:pStyle w:val="BodyText"/>
            </w:pPr>
            <w:r w:rsidRPr="009B1D03">
              <w:rPr>
                <w:rStyle w:val="SpecialBold"/>
              </w:rPr>
              <w:t>ELEMENTS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03">
            <w:pPr>
              <w:pStyle w:val="BodyText"/>
              <w:rPr>
                <w:lang w:val="en-NZ"/>
              </w:rPr>
            </w:pPr>
            <w:r w:rsidRPr="009B1D03">
              <w:rPr>
                <w:rStyle w:val="SpecialBold"/>
              </w:rPr>
              <w:t>PERFORMANCE</w:t>
            </w:r>
            <w:r w:rsidRPr="009B1D03">
              <w:t xml:space="preserve"> </w:t>
            </w:r>
            <w:r w:rsidRPr="009B1D03">
              <w:rPr>
                <w:rStyle w:val="SpecialBold"/>
              </w:rPr>
              <w:t>CRITER</w:t>
            </w:r>
            <w:r w:rsidRPr="009B1D03">
              <w:rPr>
                <w:rStyle w:val="SpecialBold"/>
              </w:rPr>
              <w:t>IA</w:t>
            </w:r>
          </w:p>
        </w:tc>
      </w:tr>
      <w:tr w:rsidTr="009B1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03" w:rsidP="009B1D03">
            <w:pPr>
              <w:pStyle w:val="BodyText"/>
            </w:pPr>
            <w:r w:rsidRPr="009B1D03">
              <w:rPr>
                <w:rStyle w:val="Emphasis"/>
              </w:rPr>
              <w:t>Elements describe the essential outcomes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03">
            <w:pPr>
              <w:pStyle w:val="BodyText"/>
              <w:rPr>
                <w:lang w:val="en-NZ"/>
              </w:rPr>
            </w:pPr>
            <w:r w:rsidRPr="009B1D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1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99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03">
            <w:pPr>
              <w:pStyle w:val="List"/>
              <w:rPr>
                <w:lang w:val="en-NZ"/>
              </w:rPr>
            </w:pPr>
            <w:r w:rsidRPr="009B1D03">
              <w:t>1.  Prepare patient and equipment.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03" w:rsidP="009B1D03">
            <w:pPr>
              <w:pStyle w:val="List"/>
            </w:pPr>
            <w:r w:rsidRPr="009B1D03">
              <w:t>1.1. Read procedure information, check anaesthetist requirements and surgical factors that may impact on the anaesthetic procedure.</w:t>
            </w:r>
          </w:p>
          <w:p w:rsidR="00000000" w:rsidRPr="009B1D03" w:rsidP="009B1D03">
            <w:pPr>
              <w:pStyle w:val="List"/>
            </w:pPr>
            <w:r w:rsidRPr="009B1D03">
              <w:t>1.2. Develop and communicate individualised anaesthesia plan in collaboration with anaesthetist.</w:t>
            </w:r>
          </w:p>
          <w:p w:rsidR="00000000" w:rsidRPr="009B1D03" w:rsidP="009B1D03">
            <w:pPr>
              <w:pStyle w:val="List"/>
            </w:pPr>
            <w:r w:rsidRPr="009B1D03">
              <w:t>1.3. Select and prepare equ</w:t>
            </w:r>
            <w:r w:rsidRPr="009B1D03">
              <w:t>ipment and materials in relation to sequence and requirements of the patients and their anaesthetic procedure.</w:t>
            </w:r>
          </w:p>
          <w:p w:rsidR="00000000" w:rsidRPr="009B1D03" w:rsidP="009B1D03">
            <w:pPr>
              <w:pStyle w:val="List"/>
            </w:pPr>
            <w:r w:rsidRPr="009B1D03">
              <w:t>1.4. Ensure all relevant anaesthetic equipment and materials are clean, decontaminated, sterile, in date, functioning correctly, prepared for use</w:t>
            </w:r>
            <w:r w:rsidRPr="009B1D03">
              <w:t>, and if necessary, calibrated.</w:t>
            </w:r>
          </w:p>
          <w:p w:rsidR="00000000" w:rsidRPr="009B1D03" w:rsidP="009B1D03">
            <w:pPr>
              <w:pStyle w:val="List"/>
            </w:pPr>
            <w:r w:rsidRPr="009B1D03">
              <w:t xml:space="preserve">1.5. Position equipment and materials for accessibility. </w:t>
            </w:r>
          </w:p>
          <w:p w:rsidR="00000000" w:rsidRPr="009B1D03" w:rsidP="009B1D03">
            <w:pPr>
              <w:pStyle w:val="List"/>
            </w:pPr>
            <w:r w:rsidRPr="009B1D03">
              <w:t>1.6. Accurately document accountable anaesthetic items.</w:t>
            </w:r>
          </w:p>
          <w:p w:rsidR="00000000" w:rsidRPr="009B1D03" w:rsidP="009B1D03">
            <w:pPr>
              <w:pStyle w:val="List"/>
            </w:pPr>
            <w:r w:rsidRPr="009B1D03">
              <w:t>1.7. Position the patient for the procedure and provide optimum conditions to facilitate access.</w:t>
            </w:r>
          </w:p>
          <w:p w:rsidR="00000000" w:rsidRPr="009B1D03" w:rsidP="009B1D03">
            <w:pPr>
              <w:pStyle w:val="List"/>
            </w:pPr>
            <w:r w:rsidRPr="009B1D03">
              <w:t>1.8. Check en</w:t>
            </w:r>
            <w:r w:rsidRPr="009B1D03">
              <w:t>vironment for administration of anaesthesia and adjust accordingly.</w:t>
            </w:r>
          </w:p>
          <w:p w:rsidR="00000000" w:rsidP="009B1D03">
            <w:pPr>
              <w:pStyle w:val="List"/>
              <w:rPr>
                <w:lang w:val="en-NZ"/>
              </w:rPr>
            </w:pPr>
            <w:r w:rsidRPr="009B1D03">
              <w:t>1.9. Use appropriate aseptic and sterile techniques where applicable.</w:t>
            </w:r>
          </w:p>
        </w:tc>
      </w:tr>
      <w:tr w:rsidTr="009B1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03">
            <w:pPr>
              <w:pStyle w:val="List"/>
              <w:rPr>
                <w:lang w:val="en-NZ"/>
              </w:rPr>
            </w:pPr>
            <w:r w:rsidRPr="009B1D03">
              <w:t>2.  Provide assistance to the anaesthetist.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03" w:rsidP="009B1D03">
            <w:pPr>
              <w:pStyle w:val="List"/>
            </w:pPr>
            <w:r w:rsidRPr="009B1D03">
              <w:t>2.1. Provide assistance to the anaesthetist during anaesthetic procedures and the induction, maintenance and completion of anaesthesia.</w:t>
            </w:r>
          </w:p>
          <w:p w:rsidR="00000000" w:rsidRPr="009B1D03" w:rsidP="009B1D03">
            <w:pPr>
              <w:pStyle w:val="List"/>
            </w:pPr>
            <w:r w:rsidRPr="009B1D03">
              <w:t>2.2. Check patient’s physiological parameters when required or as directed by anaesthetist.</w:t>
            </w:r>
          </w:p>
          <w:p w:rsidR="00000000" w:rsidRPr="009B1D03" w:rsidP="009B1D03">
            <w:pPr>
              <w:pStyle w:val="List"/>
            </w:pPr>
            <w:r w:rsidRPr="009B1D03">
              <w:t>2.3. Complete required docum</w:t>
            </w:r>
            <w:r w:rsidRPr="009B1D03">
              <w:t>entation.</w:t>
            </w:r>
          </w:p>
          <w:p w:rsidR="00000000" w:rsidRPr="009B1D03" w:rsidP="009B1D03">
            <w:pPr>
              <w:pStyle w:val="List"/>
            </w:pPr>
            <w:r w:rsidRPr="009B1D03">
              <w:t>2.4. Identify, validate and report deviations from acceptable limits of the patient’s physiological parameters to the anaesthetist.</w:t>
            </w:r>
          </w:p>
          <w:p w:rsidR="00000000" w:rsidRPr="009B1D03" w:rsidP="009B1D03">
            <w:pPr>
              <w:pStyle w:val="List"/>
            </w:pPr>
            <w:r w:rsidRPr="009B1D03">
              <w:t>2.5. Report signs of patient discomfort, distress or adverse reaction to the anaesthetist.</w:t>
            </w:r>
          </w:p>
          <w:p w:rsidR="00000000" w:rsidP="009B1D03">
            <w:pPr>
              <w:pStyle w:val="List"/>
              <w:rPr>
                <w:lang w:val="en-NZ"/>
              </w:rPr>
            </w:pPr>
            <w:r w:rsidRPr="009B1D03">
              <w:t>2.6. Assist with the pe</w:t>
            </w:r>
            <w:r w:rsidRPr="009B1D03">
              <w:t>rioperative medical management of the patient.</w:t>
            </w:r>
          </w:p>
        </w:tc>
      </w:tr>
      <w:tr w:rsidTr="009B1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03">
            <w:pPr>
              <w:pStyle w:val="List"/>
              <w:rPr>
                <w:lang w:val="en-NZ"/>
              </w:rPr>
            </w:pPr>
            <w:r w:rsidRPr="009B1D03">
              <w:t>3.   Restore equipment and environment at completion of procedure.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03" w:rsidP="009B1D03">
            <w:pPr>
              <w:pStyle w:val="List"/>
            </w:pPr>
            <w:r w:rsidRPr="009B1D03">
              <w:t>3.1. Clean, decontaminate or sterilise equipment in accordance with infection control guidelines and manufacturer’s instructions.</w:t>
            </w:r>
          </w:p>
          <w:p w:rsidR="00000000" w:rsidRPr="009B1D03" w:rsidP="009B1D03">
            <w:pPr>
              <w:pStyle w:val="List"/>
            </w:pPr>
            <w:r w:rsidRPr="009B1D03">
              <w:t>3.2. Manage</w:t>
            </w:r>
            <w:r w:rsidRPr="009B1D03">
              <w:t xml:space="preserve"> faulty equipment in accordance with organisational policies and procedures and manufacturers’ guidelines.</w:t>
            </w:r>
          </w:p>
          <w:p w:rsidR="00000000" w:rsidRPr="009B1D03" w:rsidP="009B1D03">
            <w:pPr>
              <w:pStyle w:val="List"/>
            </w:pPr>
            <w:r w:rsidRPr="009B1D03">
              <w:t>3.3. Restore the environment to required status.</w:t>
            </w:r>
          </w:p>
          <w:p w:rsidR="00000000" w:rsidRPr="009B1D03" w:rsidP="009B1D03">
            <w:pPr>
              <w:pStyle w:val="List"/>
            </w:pPr>
            <w:r w:rsidRPr="009B1D03">
              <w:t>3.4. Restock consumables according to facility requirements.</w:t>
            </w:r>
          </w:p>
        </w:tc>
      </w:tr>
    </w:tbl>
    <w:p w:rsidR="00000000" w:rsidRPr="009B1D03" w:rsidP="009B1D03">
      <w:pPr>
        <w:pStyle w:val="BodyText"/>
      </w:pPr>
    </w:p>
    <w:p w:rsidR="00000000" w:rsidRPr="009B1D03" w:rsidP="009B1D03">
      <w:pPr>
        <w:pStyle w:val="AllowPageBreak"/>
      </w:pPr>
    </w:p>
    <w:p w:rsidR="00000000" w:rsidRPr="009B1D03" w:rsidP="009B1D03">
      <w:pPr>
        <w:pStyle w:val="Heading1"/>
      </w:pPr>
      <w:bookmarkStart w:id="7" w:name="O_1198991"/>
      <w:bookmarkEnd w:id="7"/>
      <w:r w:rsidRPr="009B1D03">
        <w:t>Foundation Skills</w:t>
      </w:r>
    </w:p>
    <w:p w:rsidR="00000000" w:rsidRPr="009B1D03" w:rsidP="00D451FE">
      <w:pPr>
        <w:pStyle w:val="BodyText"/>
      </w:pPr>
      <w:r w:rsidRPr="009B1D03">
        <w:t>Foundation skills essential to performance are explicit in the performance criteria of this unit of competency.</w:t>
      </w:r>
    </w:p>
    <w:p w:rsidR="00000000" w:rsidRPr="009B1D03" w:rsidP="009B1D03">
      <w:pPr>
        <w:pStyle w:val="Heading1"/>
      </w:pPr>
      <w:bookmarkStart w:id="8" w:name="O_1198993"/>
      <w:bookmarkEnd w:id="8"/>
      <w:r w:rsidRPr="009B1D03">
        <w:t>Unit Mapping Information</w:t>
      </w:r>
    </w:p>
    <w:p w:rsidR="00000000" w:rsidRPr="009B1D03" w:rsidP="00D451FE">
      <w:pPr>
        <w:pStyle w:val="BodyText"/>
      </w:pPr>
      <w:r w:rsidRPr="009B1D03">
        <w:t>Supersedes and is not equivalent to HLTANA006 Assist with clinical procedures used in anaesthesia.</w:t>
      </w:r>
    </w:p>
    <w:p w:rsidR="00000000" w:rsidRPr="009B1D03" w:rsidP="009B1D03">
      <w:pPr>
        <w:pStyle w:val="Heading1"/>
      </w:pPr>
      <w:bookmarkStart w:id="9" w:name="O_1199000"/>
      <w:bookmarkEnd w:id="9"/>
      <w:r w:rsidRPr="009B1D03">
        <w:t>Links</w:t>
      </w:r>
    </w:p>
    <w:p w:rsidR="00000000" w:rsidRPr="009B1D03" w:rsidP="00D451FE">
      <w:pPr>
        <w:pStyle w:val="BodyText"/>
      </w:pPr>
      <w:r w:rsidRPr="009B1D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7091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B1D03" w:rsidP="009B1D03"/>
    <w:sectPr w:rsidSect="009B1D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03" w:rsidRPr="00D451FE" w:rsidP="00D451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FE" w:rsidP="009B1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1FE" w:rsidP="009B1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51FE" w:rsidP="009B1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D03" w:rsidRPr="00D451FE" w:rsidP="00D451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FE" w:rsidRPr="002D2AF8" w:rsidP="009B1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HLTANA013 Assist with clinical procedures used in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451FE" w:rsidP="009B1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D03"/>
  </w:style>
  <w:style w:type="character" w:customStyle="1" w:styleId="Heading1Char">
    <w:name w:val="Heading 1 Char"/>
    <w:basedOn w:val="DefaultParagraphFont"/>
    <w:link w:val="Heading1"/>
    <w:rsid w:val="009B1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D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1D0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B1D03"/>
    <w:rPr>
      <w:b/>
      <w:spacing w:val="0"/>
    </w:rPr>
  </w:style>
  <w:style w:type="character" w:styleId="Emphasis">
    <w:name w:val="Emphasis"/>
    <w:basedOn w:val="DefaultParagraphFont"/>
    <w:qFormat/>
    <w:rsid w:val="009B1D03"/>
    <w:rPr>
      <w:i/>
    </w:rPr>
  </w:style>
  <w:style w:type="paragraph" w:customStyle="1" w:styleId="SuperHeading">
    <w:name w:val="SuperHeading"/>
    <w:basedOn w:val="Normal"/>
    <w:rsid w:val="009B1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D0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B1D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1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D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D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D03"/>
  </w:style>
  <w:style w:type="paragraph" w:styleId="TableofFigures">
    <w:name w:val="table of figures"/>
    <w:basedOn w:val="Normal"/>
    <w:next w:val="Normal"/>
    <w:semiHidden/>
    <w:rsid w:val="009B1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D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1D03"/>
    <w:rPr>
      <w:rFonts w:ascii="Wingdings" w:hAnsi="Wingdings"/>
    </w:rPr>
  </w:style>
  <w:style w:type="paragraph" w:customStyle="1" w:styleId="TableHeading">
    <w:name w:val="Table Heading"/>
    <w:basedOn w:val="HeadingBase"/>
    <w:rsid w:val="009B1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D03"/>
    <w:rPr>
      <w:color w:val="0033CC"/>
      <w:u w:val="none"/>
    </w:rPr>
  </w:style>
  <w:style w:type="paragraph" w:customStyle="1" w:styleId="BodyTextRight">
    <w:name w:val="Body Text Right"/>
    <w:basedOn w:val="BodyText"/>
    <w:rsid w:val="009B1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D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D03"/>
    <w:rPr>
      <w:sz w:val="32"/>
    </w:rPr>
  </w:style>
  <w:style w:type="paragraph" w:customStyle="1" w:styleId="HeadingProcedure">
    <w:name w:val="Heading Procedure"/>
    <w:basedOn w:val="HeadingBase"/>
    <w:next w:val="Normal"/>
    <w:rsid w:val="009B1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D03"/>
    <w:pPr>
      <w:spacing w:before="60" w:after="60"/>
    </w:pPr>
  </w:style>
  <w:style w:type="paragraph" w:styleId="ListContinue">
    <w:name w:val="List Continue"/>
    <w:basedOn w:val="List"/>
    <w:rsid w:val="009B1D03"/>
    <w:pPr>
      <w:ind w:firstLine="0"/>
    </w:pPr>
  </w:style>
  <w:style w:type="paragraph" w:customStyle="1" w:styleId="ListNote">
    <w:name w:val="List Note"/>
    <w:basedOn w:val="List"/>
    <w:rsid w:val="009B1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D03"/>
    <w:rPr>
      <w:rFonts w:ascii="Courier New" w:hAnsi="Courier New"/>
    </w:rPr>
  </w:style>
  <w:style w:type="paragraph" w:customStyle="1" w:styleId="NoteBullet">
    <w:name w:val="Note Bullet"/>
    <w:basedOn w:val="Note"/>
    <w:rsid w:val="009B1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D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1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D03"/>
    <w:rPr>
      <w:b/>
      <w:smallCaps/>
    </w:rPr>
  </w:style>
  <w:style w:type="paragraph" w:customStyle="1" w:styleId="TableListNumber">
    <w:name w:val="Table List Number"/>
    <w:basedOn w:val="ListNumber"/>
    <w:rsid w:val="009B1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D03"/>
    <w:pPr>
      <w:numPr>
        <w:numId w:val="7"/>
      </w:numPr>
    </w:pPr>
  </w:style>
  <w:style w:type="paragraph" w:customStyle="1" w:styleId="ListAlpha2">
    <w:name w:val="List Alpha 2"/>
    <w:basedOn w:val="List2"/>
    <w:rsid w:val="009B1D03"/>
    <w:pPr>
      <w:numPr>
        <w:numId w:val="6"/>
      </w:numPr>
    </w:pPr>
  </w:style>
  <w:style w:type="paragraph" w:styleId="List2">
    <w:name w:val="List 2"/>
    <w:basedOn w:val="BodyText"/>
    <w:rsid w:val="009B1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D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D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1D03"/>
    <w:pPr>
      <w:numPr>
        <w:numId w:val="2"/>
      </w:numPr>
    </w:pPr>
  </w:style>
  <w:style w:type="paragraph" w:styleId="ListContinue2">
    <w:name w:val="List Continue 2"/>
    <w:basedOn w:val="List2"/>
    <w:rsid w:val="009B1D03"/>
    <w:pPr>
      <w:ind w:firstLine="0"/>
    </w:pPr>
  </w:style>
  <w:style w:type="paragraph" w:styleId="ListContinue3">
    <w:name w:val="List Continue 3"/>
    <w:basedOn w:val="List3"/>
    <w:rsid w:val="009B1D03"/>
    <w:pPr>
      <w:ind w:left="1021" w:firstLine="0"/>
    </w:pPr>
  </w:style>
  <w:style w:type="paragraph" w:styleId="ListContinue4">
    <w:name w:val="List Continue 4"/>
    <w:basedOn w:val="List4"/>
    <w:rsid w:val="009B1D03"/>
    <w:pPr>
      <w:ind w:firstLine="0"/>
    </w:pPr>
  </w:style>
  <w:style w:type="paragraph" w:styleId="ListContinue5">
    <w:name w:val="List Continue 5"/>
    <w:basedOn w:val="List5"/>
    <w:rsid w:val="009B1D03"/>
    <w:pPr>
      <w:ind w:firstLine="0"/>
    </w:pPr>
  </w:style>
  <w:style w:type="paragraph" w:styleId="ListNumber3">
    <w:name w:val="List Number 3"/>
    <w:basedOn w:val="List3"/>
    <w:rsid w:val="009B1D03"/>
    <w:pPr>
      <w:numPr>
        <w:numId w:val="3"/>
      </w:numPr>
    </w:pPr>
  </w:style>
  <w:style w:type="paragraph" w:styleId="ListNumber4">
    <w:name w:val="List Number 4"/>
    <w:basedOn w:val="List4"/>
    <w:rsid w:val="009B1D03"/>
    <w:pPr>
      <w:numPr>
        <w:numId w:val="4"/>
      </w:numPr>
    </w:pPr>
  </w:style>
  <w:style w:type="paragraph" w:styleId="ListNumber5">
    <w:name w:val="List Number 5"/>
    <w:basedOn w:val="List5"/>
    <w:rsid w:val="009B1D03"/>
    <w:pPr>
      <w:numPr>
        <w:numId w:val="5"/>
      </w:numPr>
    </w:pPr>
  </w:style>
  <w:style w:type="paragraph" w:styleId="BlockText">
    <w:name w:val="Block Text"/>
    <w:basedOn w:val="Normal"/>
    <w:rsid w:val="009B1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D03"/>
    <w:rPr>
      <w:sz w:val="16"/>
      <w:vertAlign w:val="superscript"/>
    </w:rPr>
  </w:style>
  <w:style w:type="character" w:customStyle="1" w:styleId="Symbols">
    <w:name w:val="Symbols"/>
    <w:basedOn w:val="DefaultParagraphFont"/>
    <w:rsid w:val="009B1D03"/>
    <w:rPr>
      <w:rFonts w:ascii="Symbol" w:hAnsi="Symbol"/>
    </w:rPr>
  </w:style>
  <w:style w:type="character" w:customStyle="1" w:styleId="MenuOptions">
    <w:name w:val="Menu Options"/>
    <w:basedOn w:val="DefaultParagraphFont"/>
    <w:rsid w:val="009B1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D03"/>
    <w:rPr>
      <w:b/>
    </w:rPr>
  </w:style>
  <w:style w:type="character" w:customStyle="1" w:styleId="Underlined">
    <w:name w:val="Underlined"/>
    <w:basedOn w:val="DefaultParagraphFont"/>
    <w:rsid w:val="009B1D03"/>
    <w:rPr>
      <w:u w:val="single"/>
    </w:rPr>
  </w:style>
  <w:style w:type="paragraph" w:customStyle="1" w:styleId="TableBodyTextRight">
    <w:name w:val="Table Body Text Right"/>
    <w:basedOn w:val="TableBodyText"/>
    <w:rsid w:val="009B1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D03"/>
    <w:rPr>
      <w:sz w:val="18"/>
    </w:rPr>
  </w:style>
  <w:style w:type="paragraph" w:customStyle="1" w:styleId="BodySmallRight">
    <w:name w:val="Body Small Right"/>
    <w:basedOn w:val="BodyTextRight"/>
    <w:rsid w:val="009B1D03"/>
    <w:rPr>
      <w:sz w:val="18"/>
      <w:szCs w:val="18"/>
    </w:rPr>
  </w:style>
  <w:style w:type="paragraph" w:customStyle="1" w:styleId="MarginEdition">
    <w:name w:val="Margin Edition"/>
    <w:basedOn w:val="MarginNote"/>
    <w:rsid w:val="009B1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D03"/>
    <w:rPr>
      <w:sz w:val="2"/>
      <w:szCs w:val="2"/>
    </w:rPr>
  </w:style>
  <w:style w:type="character" w:customStyle="1" w:styleId="Small">
    <w:name w:val="Small"/>
    <w:basedOn w:val="DefaultParagraphFont"/>
    <w:rsid w:val="009B1D03"/>
    <w:rPr>
      <w:sz w:val="16"/>
    </w:rPr>
  </w:style>
  <w:style w:type="paragraph" w:customStyle="1" w:styleId="WideTable">
    <w:name w:val="Wide Table"/>
    <w:basedOn w:val="Normal"/>
    <w:rsid w:val="009B1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D03"/>
  </w:style>
  <w:style w:type="paragraph" w:styleId="Quote">
    <w:name w:val="Quote"/>
    <w:basedOn w:val="Heading1"/>
    <w:link w:val="QuoteChar"/>
    <w:qFormat/>
    <w:rsid w:val="009B1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D03"/>
    <w:pPr>
      <w:pageBreakBefore/>
    </w:pPr>
  </w:style>
  <w:style w:type="paragraph" w:customStyle="1" w:styleId="Border">
    <w:name w:val="Border"/>
    <w:basedOn w:val="Normal"/>
    <w:qFormat/>
    <w:rsid w:val="009B1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D03"/>
    <w:rPr>
      <w:u w:val="single"/>
    </w:rPr>
  </w:style>
  <w:style w:type="character" w:customStyle="1" w:styleId="BoldandItalics">
    <w:name w:val="Bold and Italics"/>
    <w:qFormat/>
    <w:rsid w:val="009B1D03"/>
    <w:rPr>
      <w:b/>
      <w:i/>
      <w:u w:val="none"/>
    </w:rPr>
  </w:style>
  <w:style w:type="paragraph" w:styleId="BalloonText">
    <w:name w:val="Balloon Text"/>
    <w:basedOn w:val="Normal"/>
    <w:link w:val="BalloonTextChar"/>
    <w:rsid w:val="009B1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D03"/>
    <w:pPr>
      <w:spacing w:before="0" w:after="0"/>
    </w:pPr>
  </w:style>
  <w:style w:type="paragraph" w:customStyle="1" w:styleId="BodyTextBold">
    <w:name w:val="Body Text Bold"/>
    <w:basedOn w:val="BodyText"/>
    <w:qFormat/>
    <w:rsid w:val="009B1D03"/>
    <w:rPr>
      <w:b/>
    </w:rPr>
  </w:style>
  <w:style w:type="character" w:styleId="Hyperlink">
    <w:name w:val="Hyperlink"/>
    <w:basedOn w:val="DefaultParagraphFont"/>
    <w:uiPriority w:val="99"/>
    <w:unhideWhenUsed/>
    <w:rsid w:val="00D451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3400</Characters>
  <Application>Microsoft Office Word</Application>
  <DocSecurity>0</DocSecurity>
  <Lines>103</Lines>
  <Paragraphs>58</Paragraphs>
  <ScaleCrop>false</ScaleCrop>
  <Company>Author-it Software Corporation Ltd.</Company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HLTANA013 Assist with clinical procedures used in anaesthesia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