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1AD" w:rsidP="00763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HLTANA013 Assist with clinical procedures used in anaesthesia</w:t>
      </w:r>
      <w:r>
        <w:fldChar w:fldCharType="end"/>
      </w:r>
    </w:p>
    <w:p w:rsidR="007631AD" w:rsidP="007631AD">
      <w:pPr>
        <w:pStyle w:val="Version"/>
        <w:sectPr w:rsidSect="00675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E4C" w:rsidP="00675E4C">
      <w:pPr>
        <w:pStyle w:val="SuperHeading"/>
      </w:pPr>
      <w:r w:rsidRPr="00675E4C">
        <w:t>HLTANA013 Assist with clinical procedures used in anaesthesia</w:t>
      </w:r>
    </w:p>
    <w:p w:rsidR="00000000" w:rsidRPr="00675E4C" w:rsidP="00675E4C">
      <w:pPr>
        <w:pStyle w:val="Heading1"/>
      </w:pPr>
      <w:bookmarkStart w:id="1" w:name="O_1198985"/>
      <w:bookmarkEnd w:id="1"/>
      <w:r w:rsidRPr="00675E4C">
        <w:t>Modification History</w:t>
      </w:r>
    </w:p>
    <w:p w:rsidR="00000000" w:rsidRPr="00675E4C" w:rsidP="007631AD">
      <w:pPr>
        <w:pStyle w:val="BodyText"/>
      </w:pPr>
      <w:r w:rsidRPr="00675E4C">
        <w:t>Supersedes and is not equivalent to HLTANA006 Assist with clinical procedures used in anaesthesia.</w:t>
      </w:r>
    </w:p>
    <w:p w:rsidR="00000000" w:rsidRPr="00675E4C" w:rsidP="00675E4C">
      <w:pPr>
        <w:pStyle w:val="Heading1"/>
      </w:pPr>
      <w:bookmarkStart w:id="2" w:name="O_1198986"/>
      <w:bookmarkEnd w:id="2"/>
      <w:r w:rsidRPr="00675E4C">
        <w:t>Application</w:t>
      </w:r>
    </w:p>
    <w:p w:rsidR="00000000" w:rsidRPr="00675E4C" w:rsidP="007631AD">
      <w:pPr>
        <w:pStyle w:val="BodyText"/>
      </w:pPr>
      <w:r w:rsidRPr="00675E4C">
        <w:t>This unit describes the skills and knowledge required to plan and prepare for anaesthesia for a range of surgical specialities, and provide assistance to the anaesthetist during regional anaesthesia, invasive monitoring and other anaesthetic related proced</w:t>
      </w:r>
      <w:r w:rsidRPr="00675E4C">
        <w:t>ures. It includes the ability to prepare and monitor both patient and equipment during the procedure.</w:t>
      </w:r>
    </w:p>
    <w:p w:rsidR="00000000" w:rsidRPr="00675E4C" w:rsidP="007631AD">
      <w:pPr>
        <w:pStyle w:val="BodyText"/>
      </w:pPr>
      <w:r w:rsidRPr="00675E4C">
        <w:t>This unit applies to anaesthetic technicians working under the direction of, and in consultation with, an anaesthetist in any hospital or day surgery sett</w:t>
      </w:r>
      <w:r w:rsidRPr="00675E4C">
        <w:t xml:space="preserve">ing. </w:t>
      </w:r>
    </w:p>
    <w:p w:rsidR="00000000" w:rsidRPr="00675E4C" w:rsidP="007631AD">
      <w:pPr>
        <w:pStyle w:val="BodyText"/>
      </w:pPr>
      <w:r w:rsidRPr="00675E4C">
        <w:t>The skills in this unit must be applied in accordance with Commonwealth and State or Territory legislation, Australian standards and industry codes of practice.</w:t>
      </w:r>
    </w:p>
    <w:p w:rsidR="00000000" w:rsidRPr="00675E4C" w:rsidP="007631AD">
      <w:pPr>
        <w:pStyle w:val="BodyText"/>
      </w:pPr>
      <w:r w:rsidRPr="00675E4C">
        <w:t>No occupational licensing, certification or specific legislative requirements apply to th</w:t>
      </w:r>
      <w:r w:rsidRPr="00675E4C">
        <w:t>is unit at the time of publication.</w:t>
      </w:r>
    </w:p>
    <w:p w:rsidR="00000000" w:rsidRPr="00675E4C" w:rsidP="00675E4C">
      <w:pPr>
        <w:pStyle w:val="Heading1"/>
      </w:pPr>
      <w:bookmarkStart w:id="3" w:name="O_1198987"/>
      <w:bookmarkEnd w:id="3"/>
      <w:r w:rsidRPr="00675E4C">
        <w:t>Pre-requisite Unit</w:t>
      </w:r>
    </w:p>
    <w:p w:rsidR="00000000" w:rsidRPr="00675E4C" w:rsidP="007631AD">
      <w:pPr>
        <w:pStyle w:val="BodyText"/>
      </w:pPr>
      <w:r w:rsidRPr="00675E4C">
        <w:t xml:space="preserve">Nil </w:t>
      </w:r>
    </w:p>
    <w:p w:rsidR="00000000" w:rsidRPr="00675E4C" w:rsidP="00675E4C">
      <w:pPr>
        <w:pStyle w:val="Heading1"/>
      </w:pPr>
      <w:bookmarkStart w:id="4" w:name="O_1198988"/>
      <w:bookmarkEnd w:id="4"/>
      <w:r w:rsidRPr="00675E4C">
        <w:t>Competency Field</w:t>
      </w:r>
    </w:p>
    <w:p w:rsidR="00000000" w:rsidRPr="00675E4C" w:rsidP="007631AD">
      <w:pPr>
        <w:pStyle w:val="BodyText"/>
      </w:pPr>
      <w:r w:rsidRPr="00675E4C">
        <w:t>Anaesthetic Technology</w:t>
      </w:r>
    </w:p>
    <w:p w:rsidR="00000000" w:rsidRPr="00675E4C" w:rsidP="00675E4C">
      <w:pPr>
        <w:pStyle w:val="Heading1"/>
      </w:pPr>
      <w:bookmarkStart w:id="5" w:name="O_1198989"/>
      <w:bookmarkEnd w:id="5"/>
      <w:r w:rsidRPr="00675E4C">
        <w:t>Unit Sector</w:t>
      </w:r>
    </w:p>
    <w:p w:rsidR="00000000" w:rsidRPr="00675E4C" w:rsidP="007631AD">
      <w:pPr>
        <w:pStyle w:val="BodyText"/>
      </w:pPr>
      <w:r w:rsidRPr="00675E4C">
        <w:t>Health</w:t>
      </w:r>
    </w:p>
    <w:p w:rsidR="00000000" w:rsidRPr="00675E4C" w:rsidP="00675E4C">
      <w:pPr>
        <w:pStyle w:val="Heading1"/>
      </w:pPr>
      <w:bookmarkStart w:id="6" w:name="O_1198990"/>
      <w:bookmarkEnd w:id="6"/>
      <w:r w:rsidRPr="00675E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2"/>
      </w:tblGrid>
      <w:tr w:rsidTr="0067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4C" w:rsidP="00675E4C">
            <w:pPr>
              <w:pStyle w:val="BodyText"/>
            </w:pPr>
            <w:r w:rsidRPr="00675E4C">
              <w:rPr>
                <w:rStyle w:val="SpecialBold"/>
              </w:rPr>
              <w:t>ELEMENTS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4C">
            <w:pPr>
              <w:pStyle w:val="BodyText"/>
              <w:rPr>
                <w:lang w:val="en-NZ"/>
              </w:rPr>
            </w:pPr>
            <w:r w:rsidRPr="00675E4C">
              <w:rPr>
                <w:rStyle w:val="SpecialBold"/>
              </w:rPr>
              <w:t>PERFORMANCE</w:t>
            </w:r>
            <w:r w:rsidRPr="00675E4C">
              <w:t xml:space="preserve"> </w:t>
            </w:r>
            <w:r w:rsidRPr="00675E4C">
              <w:rPr>
                <w:rStyle w:val="SpecialBold"/>
              </w:rPr>
              <w:t>CRITER</w:t>
            </w:r>
            <w:r w:rsidRPr="00675E4C">
              <w:rPr>
                <w:rStyle w:val="SpecialBold"/>
              </w:rPr>
              <w:t>IA</w:t>
            </w:r>
          </w:p>
        </w:tc>
      </w:tr>
      <w:tr w:rsidTr="0067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4C" w:rsidP="00675E4C">
            <w:pPr>
              <w:pStyle w:val="BodyText"/>
            </w:pPr>
            <w:r w:rsidRPr="00675E4C">
              <w:rPr>
                <w:rStyle w:val="Emphasis"/>
              </w:rPr>
              <w:t>Elements describe the essential outcomes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4C">
            <w:pPr>
              <w:pStyle w:val="BodyText"/>
              <w:rPr>
                <w:lang w:val="en-NZ"/>
              </w:rPr>
            </w:pPr>
            <w:r w:rsidRPr="00675E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99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4C">
            <w:pPr>
              <w:pStyle w:val="List"/>
              <w:rPr>
                <w:lang w:val="en-NZ"/>
              </w:rPr>
            </w:pPr>
            <w:r w:rsidRPr="00675E4C">
              <w:t>1.  Prepare patient and equipment.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4C" w:rsidP="00675E4C">
            <w:pPr>
              <w:pStyle w:val="List"/>
            </w:pPr>
            <w:r w:rsidRPr="00675E4C">
              <w:t>1.1. Read procedure information, check anaesthetist requirements and surgical factors that may impact on the anaesthetic procedure.</w:t>
            </w:r>
          </w:p>
          <w:p w:rsidR="00000000" w:rsidRPr="00675E4C" w:rsidP="00675E4C">
            <w:pPr>
              <w:pStyle w:val="List"/>
            </w:pPr>
            <w:r w:rsidRPr="00675E4C">
              <w:t>1.2. Develop and communicate individualised anaesthesia plan in collaboration with anaesthetist.</w:t>
            </w:r>
          </w:p>
          <w:p w:rsidR="00000000" w:rsidRPr="00675E4C" w:rsidP="00675E4C">
            <w:pPr>
              <w:pStyle w:val="List"/>
            </w:pPr>
            <w:r w:rsidRPr="00675E4C">
              <w:t>1.3. Select and prepare equ</w:t>
            </w:r>
            <w:r w:rsidRPr="00675E4C">
              <w:t>ipment and materials in relation to sequence and requirements of the patients and their anaesthetic procedure.</w:t>
            </w:r>
          </w:p>
          <w:p w:rsidR="00000000" w:rsidRPr="00675E4C" w:rsidP="00675E4C">
            <w:pPr>
              <w:pStyle w:val="List"/>
            </w:pPr>
            <w:r w:rsidRPr="00675E4C">
              <w:t>1.4. Ensure all relevant anaesthetic equipment and materials are clean, decontaminated, sterile, in date, functioning correctly, prepared for use</w:t>
            </w:r>
            <w:r w:rsidRPr="00675E4C">
              <w:t>, and if necessary, calibrated.</w:t>
            </w:r>
          </w:p>
          <w:p w:rsidR="00000000" w:rsidRPr="00675E4C" w:rsidP="00675E4C">
            <w:pPr>
              <w:pStyle w:val="List"/>
            </w:pPr>
            <w:r w:rsidRPr="00675E4C">
              <w:t xml:space="preserve">1.5. Position equipment and materials for accessibility. </w:t>
            </w:r>
          </w:p>
          <w:p w:rsidR="00000000" w:rsidRPr="00675E4C" w:rsidP="00675E4C">
            <w:pPr>
              <w:pStyle w:val="List"/>
            </w:pPr>
            <w:r w:rsidRPr="00675E4C">
              <w:t>1.6. Accurately document accountable anaesthetic items.</w:t>
            </w:r>
          </w:p>
          <w:p w:rsidR="00000000" w:rsidRPr="00675E4C" w:rsidP="00675E4C">
            <w:pPr>
              <w:pStyle w:val="List"/>
            </w:pPr>
            <w:r w:rsidRPr="00675E4C">
              <w:t>1.7. Position the patient for the procedure and provide optimum conditions to facilitate access.</w:t>
            </w:r>
          </w:p>
          <w:p w:rsidR="00000000" w:rsidRPr="00675E4C" w:rsidP="00675E4C">
            <w:pPr>
              <w:pStyle w:val="List"/>
            </w:pPr>
            <w:r w:rsidRPr="00675E4C">
              <w:t>1.8. Check en</w:t>
            </w:r>
            <w:r w:rsidRPr="00675E4C">
              <w:t>vironment for administration of anaesthesia and adjust accordingly.</w:t>
            </w:r>
          </w:p>
          <w:p w:rsidR="00000000" w:rsidP="00675E4C">
            <w:pPr>
              <w:pStyle w:val="List"/>
              <w:rPr>
                <w:lang w:val="en-NZ"/>
              </w:rPr>
            </w:pPr>
            <w:r w:rsidRPr="00675E4C">
              <w:t>1.9. Use appropriate aseptic and sterile techniques where applicable.</w:t>
            </w:r>
          </w:p>
        </w:tc>
      </w:tr>
      <w:tr w:rsidTr="0067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4C">
            <w:pPr>
              <w:pStyle w:val="List"/>
              <w:rPr>
                <w:lang w:val="en-NZ"/>
              </w:rPr>
            </w:pPr>
            <w:r w:rsidRPr="00675E4C">
              <w:t>2.  Provide assistance to the anaesthetist.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4C" w:rsidP="00675E4C">
            <w:pPr>
              <w:pStyle w:val="List"/>
            </w:pPr>
            <w:r w:rsidRPr="00675E4C">
              <w:t>2.1. Provide assistance to the anaesthetist during anaesthetic procedures and the induction, maintenance and completion of anaesthesia.</w:t>
            </w:r>
          </w:p>
          <w:p w:rsidR="00000000" w:rsidRPr="00675E4C" w:rsidP="00675E4C">
            <w:pPr>
              <w:pStyle w:val="List"/>
            </w:pPr>
            <w:r w:rsidRPr="00675E4C">
              <w:t>2.2. Check patient’s physiological parameters when required or as directed by anaesthetist.</w:t>
            </w:r>
          </w:p>
          <w:p w:rsidR="00000000" w:rsidRPr="00675E4C" w:rsidP="00675E4C">
            <w:pPr>
              <w:pStyle w:val="List"/>
            </w:pPr>
            <w:r w:rsidRPr="00675E4C">
              <w:t>2.3. Complete required docum</w:t>
            </w:r>
            <w:r w:rsidRPr="00675E4C">
              <w:t>entation.</w:t>
            </w:r>
          </w:p>
          <w:p w:rsidR="00000000" w:rsidRPr="00675E4C" w:rsidP="00675E4C">
            <w:pPr>
              <w:pStyle w:val="List"/>
            </w:pPr>
            <w:r w:rsidRPr="00675E4C">
              <w:t>2.4. Identify, validate and report deviations from acceptable limits of the patient’s physiological parameters to the anaesthetist.</w:t>
            </w:r>
          </w:p>
          <w:p w:rsidR="00000000" w:rsidRPr="00675E4C" w:rsidP="00675E4C">
            <w:pPr>
              <w:pStyle w:val="List"/>
            </w:pPr>
            <w:r w:rsidRPr="00675E4C">
              <w:t>2.5. Report signs of patient discomfort, distress or adverse reaction to the anaesthetist.</w:t>
            </w:r>
          </w:p>
          <w:p w:rsidR="00000000" w:rsidP="00675E4C">
            <w:pPr>
              <w:pStyle w:val="List"/>
              <w:rPr>
                <w:lang w:val="en-NZ"/>
              </w:rPr>
            </w:pPr>
            <w:r w:rsidRPr="00675E4C">
              <w:t>2.6. Assist with the pe</w:t>
            </w:r>
            <w:r w:rsidRPr="00675E4C">
              <w:t>rioperative medical management of the patient.</w:t>
            </w:r>
          </w:p>
        </w:tc>
      </w:tr>
      <w:tr w:rsidTr="00675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E4C">
            <w:pPr>
              <w:pStyle w:val="List"/>
              <w:rPr>
                <w:lang w:val="en-NZ"/>
              </w:rPr>
            </w:pPr>
            <w:r w:rsidRPr="00675E4C">
              <w:t>3.   Restore equipment and environment at completion of procedure.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E4C" w:rsidP="00675E4C">
            <w:pPr>
              <w:pStyle w:val="List"/>
            </w:pPr>
            <w:r w:rsidRPr="00675E4C">
              <w:t>3.1. Clean, decontaminate or sterilise equipment in accordance with infection control guidelines and manufacturer’s instructions.</w:t>
            </w:r>
          </w:p>
          <w:p w:rsidR="00000000" w:rsidRPr="00675E4C" w:rsidP="00675E4C">
            <w:pPr>
              <w:pStyle w:val="List"/>
            </w:pPr>
            <w:r w:rsidRPr="00675E4C">
              <w:t>3.2. Manage</w:t>
            </w:r>
            <w:r w:rsidRPr="00675E4C">
              <w:t xml:space="preserve"> faulty equipment in accordance with organisational policies and procedures and manufacturers’ guidelines.</w:t>
            </w:r>
          </w:p>
          <w:p w:rsidR="00000000" w:rsidRPr="00675E4C" w:rsidP="00675E4C">
            <w:pPr>
              <w:pStyle w:val="List"/>
            </w:pPr>
            <w:r w:rsidRPr="00675E4C">
              <w:t>3.3. Restore the environment to required status.</w:t>
            </w:r>
          </w:p>
          <w:p w:rsidR="00000000" w:rsidRPr="00675E4C" w:rsidP="00675E4C">
            <w:pPr>
              <w:pStyle w:val="List"/>
            </w:pPr>
            <w:r w:rsidRPr="00675E4C">
              <w:t>3.4. Restock consumables according to facility requirements.</w:t>
            </w:r>
          </w:p>
        </w:tc>
      </w:tr>
    </w:tbl>
    <w:p w:rsidR="00000000" w:rsidRPr="00675E4C" w:rsidP="00675E4C">
      <w:pPr>
        <w:pStyle w:val="BodyText"/>
      </w:pPr>
    </w:p>
    <w:p w:rsidR="00000000" w:rsidRPr="00675E4C" w:rsidP="00675E4C">
      <w:pPr>
        <w:pStyle w:val="AllowPageBreak"/>
      </w:pPr>
    </w:p>
    <w:p w:rsidR="00000000" w:rsidRPr="00675E4C" w:rsidP="00675E4C">
      <w:pPr>
        <w:pStyle w:val="Heading1"/>
      </w:pPr>
      <w:bookmarkStart w:id="7" w:name="O_1198991"/>
      <w:bookmarkEnd w:id="7"/>
      <w:r w:rsidRPr="00675E4C">
        <w:t>Foundation Skills</w:t>
      </w:r>
    </w:p>
    <w:p w:rsidR="00000000" w:rsidRPr="00675E4C" w:rsidP="007631AD">
      <w:pPr>
        <w:pStyle w:val="BodyText"/>
      </w:pPr>
      <w:r w:rsidRPr="00675E4C">
        <w:t>Foundation skills essential to performance are explicit in the performance criteria of this unit of competency.</w:t>
      </w:r>
    </w:p>
    <w:p w:rsidR="00000000" w:rsidRPr="00675E4C" w:rsidP="00675E4C">
      <w:pPr>
        <w:pStyle w:val="Heading1"/>
      </w:pPr>
      <w:bookmarkStart w:id="8" w:name="O_1198993"/>
      <w:bookmarkEnd w:id="8"/>
      <w:r w:rsidRPr="00675E4C">
        <w:t>Unit Mapping Information</w:t>
      </w:r>
    </w:p>
    <w:p w:rsidR="00000000" w:rsidRPr="00675E4C" w:rsidP="007631AD">
      <w:pPr>
        <w:pStyle w:val="BodyText"/>
      </w:pPr>
      <w:r w:rsidRPr="00675E4C">
        <w:t>Supersedes and is not equivalent to HLTANA006 Assist with clinical procedures used in anaesthesia.</w:t>
      </w:r>
    </w:p>
    <w:p w:rsidR="00000000" w:rsidRPr="00675E4C" w:rsidP="00675E4C">
      <w:pPr>
        <w:pStyle w:val="Heading1"/>
      </w:pPr>
      <w:bookmarkStart w:id="9" w:name="O_1199000"/>
      <w:bookmarkEnd w:id="9"/>
      <w:r w:rsidRPr="00675E4C">
        <w:t>Links</w:t>
      </w:r>
    </w:p>
    <w:p w:rsidR="00000000" w:rsidRPr="00675E4C" w:rsidP="007631AD">
      <w:pPr>
        <w:pStyle w:val="BodyText"/>
      </w:pPr>
      <w:r w:rsidRPr="00675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87F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5E4C" w:rsidP="007631AD">
      <w:pPr>
        <w:pStyle w:val="BodyText"/>
        <w:sectPr w:rsidSect="00675E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5E4C" w:rsidP="00675E4C">
      <w:pPr>
        <w:pStyle w:val="SuperHeading"/>
      </w:pPr>
      <w:r w:rsidRPr="00675E4C">
        <w:t>Assessment Requirements for HLTANA013 A</w:t>
      </w:r>
      <w:r w:rsidRPr="00675E4C">
        <w:t>ssist with clinical procedures used in anaesthesia</w:t>
      </w:r>
    </w:p>
    <w:p w:rsidR="00000000" w:rsidRPr="00675E4C" w:rsidP="00675E4C">
      <w:pPr>
        <w:pStyle w:val="Heading1"/>
      </w:pPr>
      <w:bookmarkStart w:id="10" w:name="O_1198995"/>
      <w:bookmarkEnd w:id="10"/>
      <w:r w:rsidRPr="00675E4C">
        <w:t>Modification History</w:t>
      </w:r>
    </w:p>
    <w:p w:rsidR="00000000" w:rsidRPr="00675E4C" w:rsidP="007631AD">
      <w:pPr>
        <w:pStyle w:val="BodyText"/>
      </w:pPr>
      <w:r w:rsidRPr="00675E4C">
        <w:t>Supersedes and is not equivalent to HLTANA006 Assist with clinical procedures used in anaesthesia.</w:t>
      </w:r>
    </w:p>
    <w:p w:rsidR="00000000" w:rsidRPr="00675E4C" w:rsidP="00675E4C">
      <w:pPr>
        <w:pStyle w:val="Heading1"/>
      </w:pPr>
      <w:bookmarkStart w:id="11" w:name="O_1198996"/>
      <w:bookmarkEnd w:id="11"/>
      <w:r w:rsidRPr="00675E4C">
        <w:t>Performance Evidence</w:t>
      </w:r>
    </w:p>
    <w:p w:rsidR="00000000" w:rsidRPr="00675E4C" w:rsidP="007631AD">
      <w:pPr>
        <w:pStyle w:val="BodyText"/>
      </w:pPr>
      <w:r w:rsidRPr="00675E4C">
        <w:t>Evidence of the ability to complete tasks outlined in elements and performance criteria of this unit in the context of the job role, and:</w:t>
      </w:r>
    </w:p>
    <w:p w:rsidR="00000000" w:rsidRPr="00675E4C" w:rsidP="00675E4C">
      <w:pPr>
        <w:pStyle w:val="ListBullet"/>
      </w:pPr>
      <w:r w:rsidRPr="00675E4C">
        <w:t>for each of the following procedures, plan, prepare and assist during induction, maintenance and completion of anaest</w:t>
      </w:r>
      <w:r w:rsidRPr="00675E4C">
        <w:t>hesia, for at least three cases each:</w:t>
      </w:r>
    </w:p>
    <w:p w:rsidR="00000000" w:rsidRPr="00675E4C" w:rsidP="00675E4C">
      <w:pPr>
        <w:pStyle w:val="ListBullet2"/>
      </w:pPr>
      <w:r w:rsidRPr="00675E4C">
        <w:t>general surgery and gastro-intestinal including major laparotomy and minor surgery</w:t>
      </w:r>
    </w:p>
    <w:p w:rsidR="00000000" w:rsidRPr="00675E4C" w:rsidP="00675E4C">
      <w:pPr>
        <w:pStyle w:val="ListBullet2"/>
      </w:pPr>
      <w:r w:rsidRPr="00675E4C">
        <w:t>ear, nose and throat surgery</w:t>
      </w:r>
    </w:p>
    <w:p w:rsidR="00000000" w:rsidRPr="00675E4C" w:rsidP="00675E4C">
      <w:pPr>
        <w:pStyle w:val="ListBullet2"/>
      </w:pPr>
      <w:r w:rsidRPr="00675E4C">
        <w:t>gynaecological surgery including major and minor</w:t>
      </w:r>
    </w:p>
    <w:p w:rsidR="00000000" w:rsidRPr="00675E4C" w:rsidP="00675E4C">
      <w:pPr>
        <w:pStyle w:val="ListBullet2"/>
      </w:pPr>
      <w:r w:rsidRPr="00675E4C">
        <w:t>obstetric surgery</w:t>
      </w:r>
    </w:p>
    <w:p w:rsidR="00000000" w:rsidRPr="00675E4C" w:rsidP="00675E4C">
      <w:pPr>
        <w:pStyle w:val="ListBullet2"/>
      </w:pPr>
      <w:r w:rsidRPr="00675E4C">
        <w:t>orthopaedic surgery including major and minor</w:t>
      </w:r>
    </w:p>
    <w:p w:rsidR="00000000" w:rsidRPr="00675E4C" w:rsidP="00675E4C">
      <w:pPr>
        <w:pStyle w:val="ListBullet2"/>
      </w:pPr>
      <w:r w:rsidRPr="00675E4C">
        <w:t>vascular surgery including major and minor</w:t>
      </w:r>
    </w:p>
    <w:p w:rsidR="00000000" w:rsidRPr="00675E4C" w:rsidP="00675E4C">
      <w:pPr>
        <w:pStyle w:val="ListBullet2"/>
      </w:pPr>
      <w:r w:rsidRPr="00675E4C">
        <w:t>urological surgery including major and minor</w:t>
      </w:r>
    </w:p>
    <w:p w:rsidR="00000000" w:rsidRPr="00675E4C" w:rsidP="00675E4C">
      <w:pPr>
        <w:pStyle w:val="ListBullet2"/>
      </w:pPr>
      <w:r w:rsidRPr="00675E4C">
        <w:t>paediatric including minor ear nose and throat (ENT), general and orthopaedic</w:t>
      </w:r>
    </w:p>
    <w:p w:rsidR="00000000" w:rsidRPr="00675E4C" w:rsidP="00675E4C">
      <w:pPr>
        <w:pStyle w:val="ListBullet2"/>
      </w:pPr>
      <w:r w:rsidRPr="00675E4C">
        <w:t>remote site anaesthesia:</w:t>
      </w:r>
    </w:p>
    <w:p w:rsidR="00000000" w:rsidRPr="00675E4C" w:rsidP="00675E4C">
      <w:pPr>
        <w:pStyle w:val="ListBullet3"/>
      </w:pPr>
      <w:r w:rsidRPr="00675E4C">
        <w:t>medical imaging an</w:t>
      </w:r>
      <w:r w:rsidRPr="00675E4C">
        <w:t>d electroconvulsive therapy (ECT)</w:t>
      </w:r>
    </w:p>
    <w:p w:rsidR="00000000" w:rsidRPr="00675E4C" w:rsidP="00675E4C">
      <w:pPr>
        <w:pStyle w:val="ListBullet3"/>
      </w:pPr>
      <w:r w:rsidRPr="00675E4C">
        <w:t>angiography, endoscopy and cath lab</w:t>
      </w:r>
    </w:p>
    <w:p w:rsidR="00000000" w:rsidRPr="00675E4C" w:rsidP="00675E4C">
      <w:pPr>
        <w:pStyle w:val="ListBullet"/>
      </w:pPr>
      <w:r w:rsidRPr="00675E4C">
        <w:t xml:space="preserve">provide assistance with at least five of the following procedures on at least three occasions, ensuring use of aseptic technique: </w:t>
      </w:r>
    </w:p>
    <w:p w:rsidR="00000000" w:rsidRPr="00675E4C" w:rsidP="00675E4C">
      <w:pPr>
        <w:pStyle w:val="ListBullet2"/>
      </w:pPr>
      <w:r w:rsidRPr="00675E4C">
        <w:t>arterial line</w:t>
      </w:r>
    </w:p>
    <w:p w:rsidR="00000000" w:rsidRPr="00675E4C" w:rsidP="00675E4C">
      <w:pPr>
        <w:pStyle w:val="ListBullet2"/>
      </w:pPr>
      <w:r w:rsidRPr="00675E4C">
        <w:t xml:space="preserve">central venous catheter </w:t>
      </w:r>
    </w:p>
    <w:p w:rsidR="00000000" w:rsidRPr="00675E4C" w:rsidP="00675E4C">
      <w:pPr>
        <w:pStyle w:val="ListBullet2"/>
      </w:pPr>
      <w:r w:rsidRPr="00675E4C">
        <w:t xml:space="preserve">local </w:t>
      </w:r>
    </w:p>
    <w:p w:rsidR="00000000" w:rsidRPr="00675E4C" w:rsidP="00675E4C">
      <w:pPr>
        <w:pStyle w:val="ListBullet2"/>
      </w:pPr>
      <w:r w:rsidRPr="00675E4C">
        <w:t xml:space="preserve">regional blocks </w:t>
      </w:r>
    </w:p>
    <w:p w:rsidR="00000000" w:rsidRPr="00675E4C" w:rsidP="00675E4C">
      <w:pPr>
        <w:pStyle w:val="ListBullet2"/>
      </w:pPr>
      <w:r w:rsidRPr="00675E4C">
        <w:t xml:space="preserve">epidural and combined spinal-epidural </w:t>
      </w:r>
    </w:p>
    <w:p w:rsidR="00000000" w:rsidRPr="00675E4C" w:rsidP="00675E4C">
      <w:pPr>
        <w:pStyle w:val="ListBullet2"/>
      </w:pPr>
      <w:r w:rsidRPr="00675E4C">
        <w:t>spinal</w:t>
      </w:r>
    </w:p>
    <w:p w:rsidR="00000000" w:rsidRPr="00675E4C" w:rsidP="00675E4C">
      <w:pPr>
        <w:pStyle w:val="ListBullet2"/>
      </w:pPr>
      <w:r w:rsidRPr="00675E4C">
        <w:t>rapid infusion</w:t>
      </w:r>
    </w:p>
    <w:p w:rsidR="00000000" w:rsidRPr="00675E4C" w:rsidP="00675E4C">
      <w:pPr>
        <w:pStyle w:val="ListBullet"/>
      </w:pPr>
      <w:r w:rsidRPr="00675E4C">
        <w:t>monitor physiological parameters with reference to standard values of normal physiological function for each patient’s usual parameters</w:t>
      </w:r>
    </w:p>
    <w:p w:rsidR="00000000" w:rsidRPr="00675E4C" w:rsidP="00675E4C">
      <w:pPr>
        <w:pStyle w:val="ListBullet"/>
      </w:pPr>
      <w:r w:rsidRPr="00675E4C">
        <w:t>perform the activities outlined in the pe</w:t>
      </w:r>
      <w:r w:rsidRPr="00675E4C">
        <w:t>rformance criteria of this unit during a period of at least 360 hours of work related to anaesthetic technology in a clinical workplace environment. These 360 hours may be applied collectively across all units of competency that include the requirement for</w:t>
      </w:r>
      <w:r w:rsidRPr="00675E4C">
        <w:t xml:space="preserve"> workplace hours for the purposes of assessment.</w:t>
      </w:r>
    </w:p>
    <w:p w:rsidR="00000000" w:rsidRPr="00675E4C" w:rsidP="00675E4C">
      <w:pPr>
        <w:pStyle w:val="AllowPageBreak"/>
      </w:pPr>
    </w:p>
    <w:p w:rsidR="00000000" w:rsidRPr="00675E4C" w:rsidP="00675E4C">
      <w:pPr>
        <w:pStyle w:val="Heading1"/>
      </w:pPr>
      <w:bookmarkStart w:id="12" w:name="O_1198997"/>
      <w:bookmarkEnd w:id="12"/>
      <w:r w:rsidRPr="00675E4C">
        <w:t>Knowledge Evidence</w:t>
      </w:r>
    </w:p>
    <w:p w:rsidR="00000000" w:rsidRPr="00675E4C" w:rsidP="007631AD">
      <w:pPr>
        <w:pStyle w:val="BodyText"/>
      </w:pPr>
      <w:r w:rsidRPr="00675E4C">
        <w:t>Demonstrated knowledge required to complete the tasks outlined in elements and performance criteria of this unit:</w:t>
      </w:r>
    </w:p>
    <w:p w:rsidR="00000000" w:rsidRPr="00675E4C" w:rsidP="00675E4C">
      <w:pPr>
        <w:pStyle w:val="ListBullet"/>
      </w:pPr>
      <w:r w:rsidRPr="00675E4C">
        <w:t>national, state or territory legal and ethical conside</w:t>
      </w:r>
      <w:r w:rsidRPr="00675E4C">
        <w:t>rations for clinical procedures, and how these are applied in organisations:</w:t>
      </w:r>
    </w:p>
    <w:p w:rsidR="00000000" w:rsidRPr="00675E4C" w:rsidP="00675E4C">
      <w:pPr>
        <w:pStyle w:val="ListBullet2"/>
      </w:pPr>
      <w:r w:rsidRPr="00675E4C">
        <w:t>codes of practice</w:t>
      </w:r>
    </w:p>
    <w:p w:rsidR="00000000" w:rsidRPr="00675E4C" w:rsidP="00675E4C">
      <w:pPr>
        <w:pStyle w:val="ListBullet2"/>
      </w:pPr>
      <w:r w:rsidRPr="00675E4C">
        <w:t>duty of care</w:t>
      </w:r>
    </w:p>
    <w:p w:rsidR="00000000" w:rsidRPr="00675E4C" w:rsidP="00675E4C">
      <w:pPr>
        <w:pStyle w:val="ListBullet2"/>
      </w:pPr>
      <w:r w:rsidRPr="00675E4C">
        <w:t xml:space="preserve">infection prevention and control </w:t>
      </w:r>
    </w:p>
    <w:p w:rsidR="00000000" w:rsidRPr="00675E4C" w:rsidP="00675E4C">
      <w:pPr>
        <w:pStyle w:val="ListBullet2"/>
      </w:pPr>
      <w:r w:rsidRPr="00675E4C">
        <w:t xml:space="preserve">informed consent </w:t>
      </w:r>
    </w:p>
    <w:p w:rsidR="00000000" w:rsidRPr="00675E4C" w:rsidP="00675E4C">
      <w:pPr>
        <w:pStyle w:val="ListBullet2"/>
      </w:pPr>
      <w:r w:rsidRPr="00675E4C">
        <w:t xml:space="preserve">mandatory reporting </w:t>
      </w:r>
    </w:p>
    <w:p w:rsidR="00000000" w:rsidRPr="00675E4C" w:rsidP="00675E4C">
      <w:pPr>
        <w:pStyle w:val="ListBullet2"/>
      </w:pPr>
      <w:r w:rsidRPr="00675E4C">
        <w:t>privacy, confidentiality and disclosure</w:t>
      </w:r>
    </w:p>
    <w:p w:rsidR="00000000" w:rsidRPr="00675E4C" w:rsidP="00675E4C">
      <w:pPr>
        <w:pStyle w:val="ListBullet2"/>
      </w:pPr>
      <w:r w:rsidRPr="00675E4C">
        <w:t>records management and clinical documentation</w:t>
      </w:r>
    </w:p>
    <w:p w:rsidR="00000000" w:rsidRPr="00675E4C" w:rsidP="00675E4C">
      <w:pPr>
        <w:pStyle w:val="ListBullet2"/>
      </w:pPr>
      <w:r w:rsidRPr="00675E4C">
        <w:t>rights and responsibilities of workers, employers and patients</w:t>
      </w:r>
    </w:p>
    <w:p w:rsidR="00000000" w:rsidRPr="00675E4C" w:rsidP="00675E4C">
      <w:pPr>
        <w:pStyle w:val="ListBullet2"/>
      </w:pPr>
      <w:r w:rsidRPr="00675E4C">
        <w:t>work role boundaries including responsibilities and limitations</w:t>
      </w:r>
    </w:p>
    <w:p w:rsidR="00000000" w:rsidRPr="00675E4C" w:rsidP="00675E4C">
      <w:pPr>
        <w:pStyle w:val="ListBullet2"/>
      </w:pPr>
      <w:r w:rsidRPr="00675E4C">
        <w:t>work health and safety (WHS)</w:t>
      </w:r>
    </w:p>
    <w:p w:rsidR="00000000" w:rsidRPr="00675E4C" w:rsidP="00675E4C">
      <w:pPr>
        <w:pStyle w:val="ListBullet"/>
      </w:pPr>
      <w:r w:rsidRPr="00675E4C">
        <w:t>types of regional and invasive procedures, how they a</w:t>
      </w:r>
      <w:r w:rsidRPr="00675E4C">
        <w:t>re performed, and the anaesthetic technician’s role, for the following:</w:t>
      </w:r>
    </w:p>
    <w:p w:rsidR="00000000" w:rsidRPr="00675E4C" w:rsidP="00675E4C">
      <w:pPr>
        <w:pStyle w:val="ListBullet2"/>
      </w:pPr>
      <w:r w:rsidRPr="00675E4C">
        <w:t xml:space="preserve">spinal </w:t>
      </w:r>
    </w:p>
    <w:p w:rsidR="00000000" w:rsidRPr="00675E4C" w:rsidP="00675E4C">
      <w:pPr>
        <w:pStyle w:val="ListBullet2"/>
      </w:pPr>
      <w:r w:rsidRPr="00675E4C">
        <w:t xml:space="preserve">epidural </w:t>
      </w:r>
    </w:p>
    <w:p w:rsidR="00000000" w:rsidRPr="00675E4C" w:rsidP="00675E4C">
      <w:pPr>
        <w:pStyle w:val="ListBullet2"/>
      </w:pPr>
      <w:r w:rsidRPr="00675E4C">
        <w:t xml:space="preserve">combined spinal-epidural </w:t>
      </w:r>
    </w:p>
    <w:p w:rsidR="00000000" w:rsidRPr="00675E4C" w:rsidP="00675E4C">
      <w:pPr>
        <w:pStyle w:val="ListBullet2"/>
      </w:pPr>
      <w:r w:rsidRPr="00675E4C">
        <w:t xml:space="preserve">caudal </w:t>
      </w:r>
    </w:p>
    <w:p w:rsidR="00000000" w:rsidRPr="00675E4C" w:rsidP="00675E4C">
      <w:pPr>
        <w:pStyle w:val="ListBullet2"/>
      </w:pPr>
      <w:r w:rsidRPr="00675E4C">
        <w:t xml:space="preserve">local </w:t>
      </w:r>
    </w:p>
    <w:p w:rsidR="00000000" w:rsidRPr="00675E4C" w:rsidP="00675E4C">
      <w:pPr>
        <w:pStyle w:val="ListBullet2"/>
      </w:pPr>
      <w:r w:rsidRPr="00675E4C">
        <w:t>regional blocks</w:t>
      </w:r>
    </w:p>
    <w:p w:rsidR="00000000" w:rsidRPr="00675E4C" w:rsidP="00675E4C">
      <w:pPr>
        <w:pStyle w:val="ListBullet2"/>
      </w:pPr>
      <w:r w:rsidRPr="00675E4C">
        <w:t>blood patch</w:t>
      </w:r>
    </w:p>
    <w:p w:rsidR="00000000" w:rsidRPr="00675E4C" w:rsidP="00675E4C">
      <w:pPr>
        <w:pStyle w:val="ListBullet2"/>
      </w:pPr>
      <w:r w:rsidRPr="00675E4C">
        <w:t>arterial line</w:t>
      </w:r>
    </w:p>
    <w:p w:rsidR="00000000" w:rsidRPr="00675E4C" w:rsidP="00675E4C">
      <w:pPr>
        <w:pStyle w:val="ListBullet2"/>
      </w:pPr>
      <w:r w:rsidRPr="00675E4C">
        <w:t xml:space="preserve">central venous catheter </w:t>
      </w:r>
    </w:p>
    <w:p w:rsidR="00000000" w:rsidRPr="00675E4C" w:rsidP="00675E4C">
      <w:pPr>
        <w:pStyle w:val="ListBullet2"/>
      </w:pPr>
      <w:r w:rsidRPr="00675E4C">
        <w:t xml:space="preserve">peripherally inserted central catheter (PICC) </w:t>
      </w:r>
    </w:p>
    <w:p w:rsidR="00000000" w:rsidRPr="00675E4C" w:rsidP="00675E4C">
      <w:pPr>
        <w:pStyle w:val="ListBullet2"/>
      </w:pPr>
      <w:r w:rsidRPr="00675E4C">
        <w:t xml:space="preserve">midline catheter </w:t>
      </w:r>
    </w:p>
    <w:p w:rsidR="00000000" w:rsidRPr="00675E4C" w:rsidP="00675E4C">
      <w:pPr>
        <w:pStyle w:val="ListBullet2"/>
      </w:pPr>
      <w:r w:rsidRPr="00675E4C">
        <w:t xml:space="preserve">transoesophageal echocardiograph (TOE) </w:t>
      </w:r>
    </w:p>
    <w:p w:rsidR="00000000" w:rsidRPr="00675E4C" w:rsidP="00675E4C">
      <w:pPr>
        <w:pStyle w:val="ListBullet2"/>
      </w:pPr>
      <w:r w:rsidRPr="00675E4C">
        <w:t xml:space="preserve">intercostal drainage </w:t>
      </w:r>
    </w:p>
    <w:p w:rsidR="00000000" w:rsidRPr="00675E4C" w:rsidP="00675E4C">
      <w:pPr>
        <w:pStyle w:val="ListBullet2"/>
      </w:pPr>
      <w:r w:rsidRPr="00675E4C">
        <w:t>pain management procedures e.g. chemical sympathectomy</w:t>
      </w:r>
    </w:p>
    <w:p w:rsidR="00000000" w:rsidRPr="00675E4C" w:rsidP="00675E4C">
      <w:pPr>
        <w:pStyle w:val="ListBullet2"/>
      </w:pPr>
      <w:r w:rsidRPr="00675E4C">
        <w:t xml:space="preserve">external pacing </w:t>
      </w:r>
    </w:p>
    <w:p w:rsidR="00000000" w:rsidRPr="00675E4C" w:rsidP="00675E4C">
      <w:pPr>
        <w:pStyle w:val="ListBullet"/>
      </w:pPr>
      <w:r w:rsidRPr="00675E4C">
        <w:t>types of equipment used for regional and invasive procedures, i.e. tourniquets, ultrasound and diatherm</w:t>
      </w:r>
      <w:r w:rsidRPr="00675E4C">
        <w:t>y including:</w:t>
      </w:r>
    </w:p>
    <w:p w:rsidR="00000000" w:rsidRPr="00675E4C" w:rsidP="00675E4C">
      <w:pPr>
        <w:pStyle w:val="ListBullet2"/>
      </w:pPr>
      <w:r w:rsidRPr="00675E4C">
        <w:t>function and operating guidelines</w:t>
      </w:r>
    </w:p>
    <w:p w:rsidR="00000000" w:rsidRPr="00675E4C" w:rsidP="00675E4C">
      <w:pPr>
        <w:pStyle w:val="ListBullet2"/>
      </w:pPr>
      <w:r w:rsidRPr="00675E4C">
        <w:t>use, indications and limitations</w:t>
      </w:r>
    </w:p>
    <w:p w:rsidR="00000000" w:rsidRPr="00675E4C" w:rsidP="00675E4C">
      <w:pPr>
        <w:pStyle w:val="ListBullet2"/>
      </w:pPr>
      <w:r w:rsidRPr="00675E4C">
        <w:t xml:space="preserve">criteria for withdrawal </w:t>
      </w:r>
    </w:p>
    <w:p w:rsidR="00000000" w:rsidRPr="00675E4C" w:rsidP="00675E4C">
      <w:pPr>
        <w:pStyle w:val="ListBullet"/>
      </w:pPr>
      <w:r w:rsidRPr="00675E4C">
        <w:t>monitoring and maintenance of stock levels perioperatively, including CO2 absorber, medications, fluids, consumables</w:t>
      </w:r>
    </w:p>
    <w:p w:rsidR="00000000" w:rsidRPr="00675E4C" w:rsidP="00675E4C">
      <w:pPr>
        <w:pStyle w:val="ListBullet"/>
      </w:pPr>
      <w:r w:rsidRPr="00675E4C">
        <w:t>anatomy, physiology factors that impact regional and invasive procedures for different patient groups</w:t>
      </w:r>
    </w:p>
    <w:p w:rsidR="00000000" w:rsidRPr="00675E4C" w:rsidP="00675E4C">
      <w:pPr>
        <w:pStyle w:val="ListBullet"/>
      </w:pPr>
      <w:r w:rsidRPr="00675E4C">
        <w:t xml:space="preserve">pre-medications and their effects </w:t>
      </w:r>
    </w:p>
    <w:p w:rsidR="00000000" w:rsidRPr="00675E4C" w:rsidP="00675E4C">
      <w:pPr>
        <w:pStyle w:val="ListBullet"/>
      </w:pPr>
      <w:r w:rsidRPr="00675E4C">
        <w:t>types of surgery:</w:t>
      </w:r>
    </w:p>
    <w:p w:rsidR="00000000" w:rsidRPr="00675E4C" w:rsidP="00675E4C">
      <w:pPr>
        <w:pStyle w:val="ListBullet2"/>
      </w:pPr>
      <w:r w:rsidRPr="00675E4C">
        <w:t>emergency</w:t>
      </w:r>
    </w:p>
    <w:p w:rsidR="00000000" w:rsidRPr="00675E4C" w:rsidP="00675E4C">
      <w:pPr>
        <w:pStyle w:val="ListBullet2"/>
      </w:pPr>
      <w:r w:rsidRPr="00675E4C">
        <w:t>urgent</w:t>
      </w:r>
    </w:p>
    <w:p w:rsidR="00000000" w:rsidRPr="00675E4C" w:rsidP="00675E4C">
      <w:pPr>
        <w:pStyle w:val="ListBullet2"/>
      </w:pPr>
      <w:r w:rsidRPr="00675E4C">
        <w:t>elective</w:t>
      </w:r>
    </w:p>
    <w:p w:rsidR="00000000" w:rsidRPr="00675E4C" w:rsidP="00675E4C">
      <w:pPr>
        <w:pStyle w:val="ListBullet2"/>
      </w:pPr>
      <w:r w:rsidRPr="00675E4C">
        <w:t xml:space="preserve">day case </w:t>
      </w:r>
    </w:p>
    <w:p w:rsidR="00000000" w:rsidRPr="00675E4C" w:rsidP="00675E4C">
      <w:pPr>
        <w:pStyle w:val="ListBullet"/>
      </w:pPr>
      <w:r w:rsidRPr="00675E4C">
        <w:t>types of common surgical procedures, their classification and f</w:t>
      </w:r>
      <w:r w:rsidRPr="00675E4C">
        <w:t>actors for planning, preparation and management of anaesthesia, including:</w:t>
      </w:r>
    </w:p>
    <w:p w:rsidR="00000000" w:rsidRPr="00675E4C" w:rsidP="00675E4C">
      <w:pPr>
        <w:pStyle w:val="ListBullet2"/>
      </w:pPr>
      <w:r w:rsidRPr="00675E4C">
        <w:t>general surgery and gastro-intestinal including major and minor laparotomy</w:t>
      </w:r>
    </w:p>
    <w:p w:rsidR="00000000" w:rsidRPr="00675E4C" w:rsidP="00675E4C">
      <w:pPr>
        <w:pStyle w:val="ListBullet2"/>
      </w:pPr>
      <w:r w:rsidRPr="00675E4C">
        <w:t>ear, nose and throat surgery</w:t>
      </w:r>
    </w:p>
    <w:p w:rsidR="00000000" w:rsidRPr="00675E4C" w:rsidP="00675E4C">
      <w:pPr>
        <w:pStyle w:val="ListBullet2"/>
      </w:pPr>
      <w:r w:rsidRPr="00675E4C">
        <w:t xml:space="preserve">minor and major maxillofacial surgery </w:t>
      </w:r>
    </w:p>
    <w:p w:rsidR="00000000" w:rsidRPr="00675E4C" w:rsidP="00675E4C">
      <w:pPr>
        <w:pStyle w:val="ListBullet2"/>
      </w:pPr>
      <w:r w:rsidRPr="00675E4C">
        <w:t>gynaecological surgery including major and minor</w:t>
      </w:r>
    </w:p>
    <w:p w:rsidR="00000000" w:rsidRPr="00675E4C" w:rsidP="00675E4C">
      <w:pPr>
        <w:pStyle w:val="ListBullet2"/>
      </w:pPr>
      <w:r w:rsidRPr="00675E4C">
        <w:t>obstetric surgery</w:t>
      </w:r>
    </w:p>
    <w:p w:rsidR="00000000" w:rsidRPr="00675E4C" w:rsidP="00675E4C">
      <w:pPr>
        <w:pStyle w:val="ListBullet2"/>
      </w:pPr>
      <w:r w:rsidRPr="00675E4C">
        <w:t>orthopaedic surgery including major and minor</w:t>
      </w:r>
    </w:p>
    <w:p w:rsidR="00000000" w:rsidRPr="00675E4C" w:rsidP="00675E4C">
      <w:pPr>
        <w:pStyle w:val="ListBullet2"/>
      </w:pPr>
      <w:r w:rsidRPr="00675E4C">
        <w:t>vascular surgery including major and minor</w:t>
      </w:r>
    </w:p>
    <w:p w:rsidR="00000000" w:rsidRPr="00675E4C" w:rsidP="00675E4C">
      <w:pPr>
        <w:pStyle w:val="ListBullet2"/>
      </w:pPr>
      <w:r w:rsidRPr="00675E4C">
        <w:t>urological surgery including major and minor</w:t>
      </w:r>
    </w:p>
    <w:p w:rsidR="00000000" w:rsidRPr="00675E4C" w:rsidP="00675E4C">
      <w:pPr>
        <w:pStyle w:val="ListBullet2"/>
      </w:pPr>
      <w:r w:rsidRPr="00675E4C">
        <w:t>ophthalmic surgery</w:t>
      </w:r>
    </w:p>
    <w:p w:rsidR="00000000" w:rsidRPr="00675E4C" w:rsidP="00675E4C">
      <w:pPr>
        <w:pStyle w:val="ListBullet2"/>
      </w:pPr>
      <w:r w:rsidRPr="00675E4C">
        <w:t>neurosurgery including:</w:t>
      </w:r>
    </w:p>
    <w:p w:rsidR="00000000" w:rsidRPr="00675E4C" w:rsidP="00675E4C">
      <w:pPr>
        <w:pStyle w:val="ListBullet3"/>
      </w:pPr>
      <w:r w:rsidRPr="00675E4C">
        <w:t>laminectomy</w:t>
      </w:r>
    </w:p>
    <w:p w:rsidR="00000000" w:rsidRPr="00675E4C" w:rsidP="00675E4C">
      <w:pPr>
        <w:pStyle w:val="ListBullet3"/>
      </w:pPr>
      <w:r w:rsidRPr="00675E4C">
        <w:t>microdiscectomy</w:t>
      </w:r>
    </w:p>
    <w:p w:rsidR="00000000" w:rsidRPr="00675E4C" w:rsidP="00675E4C">
      <w:pPr>
        <w:pStyle w:val="ListBullet3"/>
      </w:pPr>
      <w:r w:rsidRPr="00675E4C">
        <w:t>paediatric</w:t>
      </w:r>
    </w:p>
    <w:p w:rsidR="00000000" w:rsidRPr="00675E4C" w:rsidP="00675E4C">
      <w:pPr>
        <w:pStyle w:val="ListBullet3"/>
      </w:pPr>
      <w:r w:rsidRPr="00675E4C">
        <w:t>minor ENT, general and orthopaedic</w:t>
      </w:r>
    </w:p>
    <w:p w:rsidR="00000000" w:rsidRPr="00675E4C" w:rsidP="00675E4C">
      <w:pPr>
        <w:pStyle w:val="ListBullet2"/>
      </w:pPr>
      <w:r w:rsidRPr="00675E4C">
        <w:t>dental or faciomaxillary surgery</w:t>
      </w:r>
    </w:p>
    <w:p w:rsidR="00000000" w:rsidRPr="00675E4C" w:rsidP="00675E4C">
      <w:pPr>
        <w:pStyle w:val="ListBullet2"/>
      </w:pPr>
      <w:r w:rsidRPr="00675E4C">
        <w:t>cardiothoracic surgery</w:t>
      </w:r>
    </w:p>
    <w:p w:rsidR="00000000" w:rsidRPr="00675E4C" w:rsidP="00675E4C">
      <w:pPr>
        <w:pStyle w:val="ListBullet2"/>
      </w:pPr>
      <w:r w:rsidRPr="00675E4C">
        <w:t>neurosurgery</w:t>
      </w:r>
    </w:p>
    <w:p w:rsidR="00000000" w:rsidRPr="00675E4C" w:rsidP="00675E4C">
      <w:pPr>
        <w:pStyle w:val="ListBullet2"/>
      </w:pPr>
      <w:r w:rsidRPr="00675E4C">
        <w:t xml:space="preserve">plastic or reconstructive surgery </w:t>
      </w:r>
    </w:p>
    <w:p w:rsidR="00000000" w:rsidRPr="00675E4C" w:rsidP="00675E4C">
      <w:pPr>
        <w:pStyle w:val="ListBullet2"/>
      </w:pPr>
      <w:r w:rsidRPr="00675E4C">
        <w:t>trauma or emergency surgery</w:t>
      </w:r>
    </w:p>
    <w:p w:rsidR="00000000" w:rsidRPr="00675E4C" w:rsidP="00675E4C">
      <w:pPr>
        <w:pStyle w:val="ListBullet2"/>
      </w:pPr>
      <w:r w:rsidRPr="00675E4C">
        <w:t>remote site anaesthesia including radiology, ECT or endoscopy</w:t>
      </w:r>
    </w:p>
    <w:p w:rsidR="00000000" w:rsidRPr="00675E4C" w:rsidP="00675E4C">
      <w:pPr>
        <w:pStyle w:val="ListBullet"/>
      </w:pPr>
      <w:r w:rsidRPr="00675E4C">
        <w:t xml:space="preserve">indications for surgery and risk factors </w:t>
      </w:r>
    </w:p>
    <w:p w:rsidR="00000000" w:rsidRPr="00675E4C" w:rsidP="00675E4C">
      <w:pPr>
        <w:pStyle w:val="ListBullet"/>
      </w:pPr>
      <w:r w:rsidRPr="00675E4C">
        <w:t>surgical approaches and duration of surgery</w:t>
      </w:r>
    </w:p>
    <w:p w:rsidR="00000000" w:rsidRPr="00675E4C" w:rsidP="00675E4C">
      <w:pPr>
        <w:pStyle w:val="ListBullet"/>
      </w:pPr>
      <w:r w:rsidRPr="00675E4C">
        <w:t>position of patients for surgery</w:t>
      </w:r>
    </w:p>
    <w:p w:rsidR="00000000" w:rsidRPr="00675E4C" w:rsidP="00675E4C">
      <w:pPr>
        <w:pStyle w:val="ListBullet"/>
      </w:pPr>
      <w:r w:rsidRPr="00675E4C">
        <w:t>common anaesthetic and surgical complications</w:t>
      </w:r>
    </w:p>
    <w:p w:rsidR="00000000" w:rsidRPr="00675E4C" w:rsidP="00675E4C">
      <w:pPr>
        <w:pStyle w:val="ListBullet"/>
      </w:pPr>
      <w:r w:rsidRPr="00675E4C">
        <w:t>risk of anaesthetic techniqu</w:t>
      </w:r>
      <w:r w:rsidRPr="00675E4C">
        <w:t>e for surgical procedure</w:t>
      </w:r>
    </w:p>
    <w:p w:rsidR="00000000" w:rsidRPr="00675E4C" w:rsidP="00675E4C">
      <w:pPr>
        <w:pStyle w:val="ListBullet"/>
      </w:pPr>
      <w:r w:rsidRPr="00675E4C">
        <w:t xml:space="preserve">specialty medications required perioperatively </w:t>
      </w:r>
    </w:p>
    <w:p w:rsidR="00000000" w:rsidRPr="00675E4C" w:rsidP="00675E4C">
      <w:pPr>
        <w:pStyle w:val="ListBullet"/>
      </w:pPr>
      <w:r w:rsidRPr="00675E4C">
        <w:t>expected blood loss for different types of surgery</w:t>
      </w:r>
    </w:p>
    <w:p w:rsidR="00000000" w:rsidRPr="00675E4C" w:rsidP="00675E4C">
      <w:pPr>
        <w:pStyle w:val="ListBullet"/>
      </w:pPr>
      <w:r w:rsidRPr="00675E4C">
        <w:t>events during surgery that could affect anaesthesia, including:</w:t>
      </w:r>
    </w:p>
    <w:p w:rsidR="00000000" w:rsidRPr="00675E4C" w:rsidP="00675E4C">
      <w:pPr>
        <w:pStyle w:val="ListBullet2"/>
      </w:pPr>
      <w:r w:rsidRPr="00675E4C">
        <w:t>massive haemorrhage</w:t>
      </w:r>
    </w:p>
    <w:p w:rsidR="00000000" w:rsidRPr="00675E4C" w:rsidP="00675E4C">
      <w:pPr>
        <w:pStyle w:val="ListBullet2"/>
      </w:pPr>
      <w:r w:rsidRPr="00675E4C">
        <w:t>patient repositioning</w:t>
      </w:r>
    </w:p>
    <w:p w:rsidR="00000000" w:rsidRPr="00675E4C" w:rsidP="00675E4C">
      <w:pPr>
        <w:pStyle w:val="ListBullet2"/>
      </w:pPr>
      <w:r w:rsidRPr="00675E4C">
        <w:t>cross clamping and unclamping of aorta and other major blood vessels</w:t>
      </w:r>
    </w:p>
    <w:p w:rsidR="00000000" w:rsidRPr="00675E4C" w:rsidP="00675E4C">
      <w:pPr>
        <w:pStyle w:val="ListBullet2"/>
      </w:pPr>
      <w:r w:rsidRPr="00675E4C">
        <w:t>orthopaedic bone cement syndrome</w:t>
      </w:r>
    </w:p>
    <w:p w:rsidR="00000000" w:rsidRPr="00675E4C" w:rsidP="00675E4C">
      <w:pPr>
        <w:pStyle w:val="ListBullet2"/>
      </w:pPr>
      <w:r w:rsidRPr="00675E4C">
        <w:t>transurethral resection of the prostate (TURP) syndrome</w:t>
      </w:r>
    </w:p>
    <w:p w:rsidR="00000000" w:rsidRPr="00675E4C" w:rsidP="00675E4C">
      <w:pPr>
        <w:pStyle w:val="ListBullet2"/>
      </w:pPr>
      <w:r w:rsidRPr="00675E4C">
        <w:t>application and release of tourniquet</w:t>
      </w:r>
    </w:p>
    <w:p w:rsidR="00000000" w:rsidRPr="00675E4C" w:rsidP="00675E4C">
      <w:pPr>
        <w:pStyle w:val="ListBullet2"/>
      </w:pPr>
      <w:r w:rsidRPr="00675E4C">
        <w:t>tourniquet time</w:t>
      </w:r>
    </w:p>
    <w:p w:rsidR="00000000" w:rsidRPr="00675E4C" w:rsidP="00675E4C">
      <w:pPr>
        <w:pStyle w:val="ListBullet2"/>
      </w:pPr>
      <w:r w:rsidRPr="00675E4C">
        <w:t>abdominal carbon dioxide insufflation</w:t>
      </w:r>
    </w:p>
    <w:p w:rsidR="00000000" w:rsidRPr="00675E4C" w:rsidP="00675E4C">
      <w:pPr>
        <w:pStyle w:val="ListBullet2"/>
      </w:pPr>
      <w:r w:rsidRPr="00675E4C">
        <w:t>drug r</w:t>
      </w:r>
      <w:r w:rsidRPr="00675E4C">
        <w:t xml:space="preserve">eaction </w:t>
      </w:r>
    </w:p>
    <w:p w:rsidR="00000000" w:rsidRPr="00675E4C" w:rsidP="00675E4C">
      <w:pPr>
        <w:pStyle w:val="ListBullet2"/>
      </w:pPr>
      <w:r w:rsidRPr="00675E4C">
        <w:t xml:space="preserve">air embolism </w:t>
      </w:r>
    </w:p>
    <w:p w:rsidR="00000000" w:rsidRPr="00675E4C" w:rsidP="00675E4C">
      <w:pPr>
        <w:pStyle w:val="ListBullet2"/>
      </w:pPr>
      <w:r w:rsidRPr="00675E4C">
        <w:t xml:space="preserve">fat embolism  </w:t>
      </w:r>
    </w:p>
    <w:p w:rsidR="00000000" w:rsidRPr="00675E4C" w:rsidP="00675E4C">
      <w:pPr>
        <w:pStyle w:val="ListBullet"/>
      </w:pPr>
      <w:r w:rsidRPr="00675E4C">
        <w:t>co-existing diseases and their perioperative medical management</w:t>
      </w:r>
    </w:p>
    <w:p w:rsidR="00000000" w:rsidRPr="00675E4C" w:rsidP="00675E4C">
      <w:pPr>
        <w:pStyle w:val="ListBullet"/>
      </w:pPr>
      <w:r w:rsidRPr="00675E4C">
        <w:t>age of the patient and associated risks</w:t>
      </w:r>
    </w:p>
    <w:p w:rsidR="00000000" w:rsidRPr="00675E4C" w:rsidP="00675E4C">
      <w:pPr>
        <w:pStyle w:val="ListBullet"/>
      </w:pPr>
      <w:r w:rsidRPr="00675E4C">
        <w:t>types of anaesthetic techniques and preference card systems</w:t>
      </w:r>
    </w:p>
    <w:p w:rsidR="00000000" w:rsidRPr="00675E4C" w:rsidP="00675E4C">
      <w:pPr>
        <w:pStyle w:val="ListBullet"/>
      </w:pPr>
      <w:r w:rsidRPr="00675E4C">
        <w:t>intraoperative procedures, including:</w:t>
      </w:r>
    </w:p>
    <w:p w:rsidR="00000000" w:rsidRPr="00675E4C" w:rsidP="00675E4C">
      <w:pPr>
        <w:pStyle w:val="ListBullet2"/>
      </w:pPr>
      <w:r w:rsidRPr="00675E4C">
        <w:t>nasogastric tube placement and suctioning</w:t>
      </w:r>
    </w:p>
    <w:p w:rsidR="00000000" w:rsidRPr="00675E4C" w:rsidP="00675E4C">
      <w:pPr>
        <w:pStyle w:val="ListBullet2"/>
      </w:pPr>
      <w:r w:rsidRPr="00675E4C">
        <w:t>endotracheal tube suctioning</w:t>
      </w:r>
    </w:p>
    <w:p w:rsidR="00000000" w:rsidRPr="00675E4C" w:rsidP="00675E4C">
      <w:pPr>
        <w:pStyle w:val="ListBullet2"/>
      </w:pPr>
      <w:r w:rsidRPr="00675E4C">
        <w:t>tracheostomy toileting</w:t>
      </w:r>
    </w:p>
    <w:p w:rsidR="00000000" w:rsidRPr="00675E4C" w:rsidP="00675E4C">
      <w:pPr>
        <w:pStyle w:val="ListBullet2"/>
      </w:pPr>
      <w:r w:rsidRPr="00675E4C">
        <w:t>rapid infusion, blood transfusion and massive transfusion protocol</w:t>
      </w:r>
    </w:p>
    <w:p w:rsidR="00000000" w:rsidRPr="00675E4C" w:rsidP="00675E4C">
      <w:pPr>
        <w:pStyle w:val="ListBullet2"/>
      </w:pPr>
      <w:r w:rsidRPr="00675E4C">
        <w:t>fluid balance-urine, gastric, blood loss and infusion</w:t>
      </w:r>
    </w:p>
    <w:p w:rsidR="00000000" w:rsidRPr="00675E4C" w:rsidP="00675E4C">
      <w:pPr>
        <w:pStyle w:val="ListBullet2"/>
      </w:pPr>
      <w:r w:rsidRPr="00675E4C">
        <w:t>invasive and non-invasive clinical measur</w:t>
      </w:r>
      <w:r w:rsidRPr="00675E4C">
        <w:t>ements</w:t>
      </w:r>
    </w:p>
    <w:p w:rsidR="00000000" w:rsidRPr="00675E4C" w:rsidP="00675E4C">
      <w:pPr>
        <w:pStyle w:val="ListBullet2"/>
      </w:pPr>
      <w:r w:rsidRPr="00675E4C">
        <w:t>airway exchange</w:t>
      </w:r>
    </w:p>
    <w:p w:rsidR="00000000" w:rsidRPr="00675E4C" w:rsidP="00675E4C">
      <w:pPr>
        <w:pStyle w:val="ListBullet2"/>
      </w:pPr>
      <w:r w:rsidRPr="00675E4C">
        <w:t>pain management techniques</w:t>
      </w:r>
    </w:p>
    <w:p w:rsidR="00000000" w:rsidRPr="00675E4C" w:rsidP="00675E4C">
      <w:pPr>
        <w:pStyle w:val="ListBullet2"/>
      </w:pPr>
      <w:r w:rsidRPr="00675E4C">
        <w:t>invasive and non-invasive clinical measurement planning options</w:t>
      </w:r>
    </w:p>
    <w:p w:rsidR="00000000" w:rsidRPr="00675E4C" w:rsidP="00675E4C">
      <w:pPr>
        <w:pStyle w:val="ListBullet2"/>
      </w:pPr>
      <w:r w:rsidRPr="00675E4C">
        <w:t>airway management planning options</w:t>
      </w:r>
    </w:p>
    <w:p w:rsidR="00000000" w:rsidRPr="00675E4C" w:rsidP="00675E4C">
      <w:pPr>
        <w:pStyle w:val="ListBullet"/>
      </w:pPr>
      <w:r w:rsidRPr="00675E4C">
        <w:t>ancillary equipment choices</w:t>
      </w:r>
    </w:p>
    <w:p w:rsidR="00000000" w:rsidRPr="00675E4C" w:rsidP="00675E4C">
      <w:pPr>
        <w:pStyle w:val="ListBullet"/>
      </w:pPr>
      <w:r w:rsidRPr="00675E4C">
        <w:t>pressure and nerve care</w:t>
      </w:r>
    </w:p>
    <w:p w:rsidR="00000000" w:rsidRPr="00675E4C" w:rsidP="00675E4C">
      <w:pPr>
        <w:pStyle w:val="ListBullet"/>
      </w:pPr>
      <w:r w:rsidRPr="00675E4C">
        <w:t>normal range of motion for patient</w:t>
      </w:r>
    </w:p>
    <w:p w:rsidR="00000000" w:rsidRPr="00675E4C" w:rsidP="00675E4C">
      <w:pPr>
        <w:pStyle w:val="ListBullet"/>
      </w:pPr>
      <w:r w:rsidRPr="00675E4C">
        <w:t>thermal management</w:t>
      </w:r>
    </w:p>
    <w:p w:rsidR="00000000" w:rsidRPr="00675E4C" w:rsidP="00675E4C">
      <w:pPr>
        <w:pStyle w:val="ListBullet"/>
      </w:pPr>
      <w:r w:rsidRPr="00675E4C">
        <w:t>prevention of thromboembolism</w:t>
      </w:r>
    </w:p>
    <w:p w:rsidR="00000000" w:rsidRPr="00675E4C" w:rsidP="00675E4C">
      <w:pPr>
        <w:pStyle w:val="ListBullet"/>
      </w:pPr>
      <w:r w:rsidRPr="00675E4C">
        <w:t>patient emotional and physiological responses to surgery</w:t>
      </w:r>
    </w:p>
    <w:p w:rsidR="00000000" w:rsidRPr="00675E4C" w:rsidP="00675E4C">
      <w:pPr>
        <w:pStyle w:val="ListBullet"/>
      </w:pPr>
      <w:r w:rsidRPr="00675E4C">
        <w:t>procedures for transfer of anaesthetised patient to intensive care or radiology and equipment used</w:t>
      </w:r>
    </w:p>
    <w:p w:rsidR="00000000" w:rsidRPr="00675E4C" w:rsidP="00675E4C">
      <w:pPr>
        <w:pStyle w:val="ListBullet"/>
      </w:pPr>
      <w:r w:rsidRPr="00675E4C">
        <w:t>communication techniques within multidisciplinary team in operating th</w:t>
      </w:r>
      <w:r w:rsidRPr="00675E4C">
        <w:t>eatre environment.</w:t>
      </w:r>
    </w:p>
    <w:p w:rsidR="00000000" w:rsidRPr="00675E4C" w:rsidP="00675E4C">
      <w:pPr>
        <w:pStyle w:val="AllowPageBreak"/>
      </w:pPr>
    </w:p>
    <w:p w:rsidR="00000000" w:rsidRPr="00675E4C" w:rsidP="00675E4C">
      <w:pPr>
        <w:pStyle w:val="Heading1"/>
      </w:pPr>
      <w:bookmarkStart w:id="13" w:name="O_1198998"/>
      <w:bookmarkEnd w:id="13"/>
      <w:r w:rsidRPr="00675E4C">
        <w:t>Assessment Conditions</w:t>
      </w:r>
    </w:p>
    <w:p w:rsidR="00000000" w:rsidRPr="00675E4C" w:rsidP="007631AD">
      <w:pPr>
        <w:pStyle w:val="BodyText"/>
      </w:pPr>
      <w:r w:rsidRPr="00675E4C">
        <w:t xml:space="preserve">Skills must be demonstrated in the workplace with the addition of simulations and scenarios where the full range of contexts and situations have not been provided in the workplace. </w:t>
      </w:r>
    </w:p>
    <w:p w:rsidR="00000000" w:rsidRPr="00675E4C" w:rsidP="007631AD">
      <w:pPr>
        <w:pStyle w:val="BodyText"/>
      </w:pPr>
      <w:r w:rsidRPr="00675E4C">
        <w:t>Assessment mus</w:t>
      </w:r>
      <w:r w:rsidRPr="00675E4C">
        <w:t>t ensure access to:</w:t>
      </w:r>
    </w:p>
    <w:p w:rsidR="00000000" w:rsidRPr="00675E4C" w:rsidP="00675E4C">
      <w:pPr>
        <w:pStyle w:val="ListBullet"/>
      </w:pPr>
      <w:r w:rsidRPr="00675E4C">
        <w:t>use of suitable facilities, equipment and resources, including those required by procedures nominated in the Performance Evidence</w:t>
      </w:r>
    </w:p>
    <w:p w:rsidR="00000000" w:rsidRPr="00675E4C" w:rsidP="00675E4C">
      <w:pPr>
        <w:pStyle w:val="ListBullet"/>
      </w:pPr>
      <w:r w:rsidRPr="00675E4C">
        <w:t>modelling of industry operating conditions, including presence of situations requiring problem solving in</w:t>
      </w:r>
      <w:r w:rsidRPr="00675E4C">
        <w:t xml:space="preserve"> non-routine situations.</w:t>
      </w:r>
    </w:p>
    <w:p w:rsidR="00000000" w:rsidRPr="00675E4C" w:rsidP="007631AD">
      <w:pPr>
        <w:pStyle w:val="BodyText"/>
      </w:pPr>
      <w:r w:rsidRPr="00675E4C">
        <w:t>Assessors must satisfy the Standards for Registered Training Organisations’ requirements for assessors.</w:t>
      </w:r>
    </w:p>
    <w:p w:rsidR="00000000" w:rsidRPr="00675E4C" w:rsidP="00675E4C">
      <w:pPr>
        <w:pStyle w:val="Heading1"/>
      </w:pPr>
      <w:bookmarkStart w:id="14" w:name="O_1199001"/>
      <w:bookmarkEnd w:id="14"/>
      <w:r w:rsidRPr="00675E4C">
        <w:t>Links</w:t>
      </w:r>
    </w:p>
    <w:p w:rsidR="00000000" w:rsidRPr="00675E4C" w:rsidP="007631AD">
      <w:pPr>
        <w:pStyle w:val="BodyText"/>
      </w:pPr>
      <w:r w:rsidRPr="00675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87F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5E4C" w:rsidP="00675E4C"/>
    <w:sectPr w:rsidSect="00675E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4C" w:rsidRPr="007631AD" w:rsidP="00763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AD" w:rsidP="00675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631AD" w:rsidP="00675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631AD" w:rsidP="00675E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4C" w:rsidP="00675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31AD">
      <w:t>Approved</w:t>
    </w:r>
    <w:r w:rsidR="007631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1A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31AD">
      <w:rPr>
        <w:noProof/>
      </w:rPr>
      <w:t>7</w:t>
    </w:r>
    <w:r>
      <w:rPr>
        <w:noProof/>
      </w:rPr>
      <w:fldChar w:fldCharType="end"/>
    </w:r>
  </w:p>
  <w:p w:rsidR="00675E4C" w:rsidP="00675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31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31AD">
      <w:t>HumanAbility</w:t>
    </w:r>
    <w:r w:rsidR="007631AD">
      <w:fldChar w:fldCharType="end"/>
    </w:r>
  </w:p>
  <w:p w:rsidR="00675E4C" w:rsidP="00675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E4C" w:rsidRPr="007631AD" w:rsidP="00763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AD" w:rsidRPr="002D2AF8" w:rsidP="00675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HLTANA013 Assist with clinical procedures used in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31AD" w:rsidP="00675E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4C" w:rsidRPr="002D2AF8" w:rsidP="00675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31AD">
      <w:t>HLTANA013 Assist with clinical procedures used in anaesthesia</w:t>
    </w:r>
    <w:r w:rsidR="007631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31AD">
      <w:rPr>
        <w:noProof/>
      </w:rPr>
      <w:t>2 March 2025</w:t>
    </w:r>
    <w:r>
      <w:fldChar w:fldCharType="end"/>
    </w:r>
  </w:p>
  <w:p w:rsidR="00675E4C" w:rsidP="00675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D0F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25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621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E4C"/>
  </w:style>
  <w:style w:type="character" w:customStyle="1" w:styleId="Heading1Char">
    <w:name w:val="Heading 1 Char"/>
    <w:basedOn w:val="DefaultParagraphFont"/>
    <w:link w:val="Heading1"/>
    <w:rsid w:val="00675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E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5E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5E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E4C"/>
    <w:rPr>
      <w:b/>
      <w:spacing w:val="0"/>
    </w:rPr>
  </w:style>
  <w:style w:type="paragraph" w:styleId="ListBullet2">
    <w:name w:val="List Bullet 2"/>
    <w:basedOn w:val="List2"/>
    <w:rsid w:val="00675E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5E4C"/>
    <w:rPr>
      <w:i/>
    </w:rPr>
  </w:style>
  <w:style w:type="paragraph" w:customStyle="1" w:styleId="SuperHeading">
    <w:name w:val="SuperHeading"/>
    <w:basedOn w:val="Normal"/>
    <w:rsid w:val="00675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5E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5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E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5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E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E4C"/>
  </w:style>
  <w:style w:type="paragraph" w:styleId="TableofFigures">
    <w:name w:val="table of figures"/>
    <w:basedOn w:val="Normal"/>
    <w:next w:val="Normal"/>
    <w:semiHidden/>
    <w:rsid w:val="00675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E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5E4C"/>
    <w:rPr>
      <w:rFonts w:ascii="Wingdings" w:hAnsi="Wingdings"/>
    </w:rPr>
  </w:style>
  <w:style w:type="paragraph" w:customStyle="1" w:styleId="TableHeading">
    <w:name w:val="Table Heading"/>
    <w:basedOn w:val="HeadingBase"/>
    <w:rsid w:val="00675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E4C"/>
    <w:rPr>
      <w:color w:val="0033CC"/>
      <w:u w:val="none"/>
    </w:rPr>
  </w:style>
  <w:style w:type="paragraph" w:customStyle="1" w:styleId="BodyTextRight">
    <w:name w:val="Body Text Right"/>
    <w:basedOn w:val="BodyText"/>
    <w:rsid w:val="00675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E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E4C"/>
    <w:rPr>
      <w:sz w:val="32"/>
    </w:rPr>
  </w:style>
  <w:style w:type="paragraph" w:customStyle="1" w:styleId="HeadingProcedure">
    <w:name w:val="Heading Procedure"/>
    <w:basedOn w:val="HeadingBase"/>
    <w:next w:val="Normal"/>
    <w:rsid w:val="00675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E4C"/>
    <w:pPr>
      <w:spacing w:before="60" w:after="60"/>
    </w:pPr>
  </w:style>
  <w:style w:type="paragraph" w:styleId="ListContinue">
    <w:name w:val="List Continue"/>
    <w:basedOn w:val="List"/>
    <w:rsid w:val="00675E4C"/>
    <w:pPr>
      <w:ind w:firstLine="0"/>
    </w:pPr>
  </w:style>
  <w:style w:type="paragraph" w:customStyle="1" w:styleId="ListNote">
    <w:name w:val="List Note"/>
    <w:basedOn w:val="List"/>
    <w:rsid w:val="00675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E4C"/>
    <w:rPr>
      <w:rFonts w:ascii="Courier New" w:hAnsi="Courier New"/>
    </w:rPr>
  </w:style>
  <w:style w:type="paragraph" w:customStyle="1" w:styleId="NoteBullet">
    <w:name w:val="Note Bullet"/>
    <w:basedOn w:val="Note"/>
    <w:rsid w:val="00675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E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5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E4C"/>
    <w:rPr>
      <w:b/>
      <w:smallCaps/>
    </w:rPr>
  </w:style>
  <w:style w:type="paragraph" w:customStyle="1" w:styleId="TableListNumber">
    <w:name w:val="Table List Number"/>
    <w:basedOn w:val="ListNumber"/>
    <w:rsid w:val="00675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E4C"/>
    <w:pPr>
      <w:numPr>
        <w:numId w:val="10"/>
      </w:numPr>
    </w:pPr>
  </w:style>
  <w:style w:type="paragraph" w:customStyle="1" w:styleId="ListAlpha2">
    <w:name w:val="List Alpha 2"/>
    <w:basedOn w:val="List2"/>
    <w:rsid w:val="00675E4C"/>
    <w:pPr>
      <w:numPr>
        <w:numId w:val="9"/>
      </w:numPr>
    </w:pPr>
  </w:style>
  <w:style w:type="paragraph" w:styleId="List2">
    <w:name w:val="List 2"/>
    <w:basedOn w:val="BodyText"/>
    <w:rsid w:val="00675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E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5E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5E4C"/>
    <w:pPr>
      <w:numPr>
        <w:numId w:val="5"/>
      </w:numPr>
    </w:pPr>
  </w:style>
  <w:style w:type="paragraph" w:styleId="ListContinue2">
    <w:name w:val="List Continue 2"/>
    <w:basedOn w:val="List2"/>
    <w:rsid w:val="00675E4C"/>
    <w:pPr>
      <w:ind w:firstLine="0"/>
    </w:pPr>
  </w:style>
  <w:style w:type="paragraph" w:styleId="ListContinue3">
    <w:name w:val="List Continue 3"/>
    <w:basedOn w:val="List3"/>
    <w:rsid w:val="00675E4C"/>
    <w:pPr>
      <w:ind w:left="1021" w:firstLine="0"/>
    </w:pPr>
  </w:style>
  <w:style w:type="paragraph" w:styleId="ListContinue4">
    <w:name w:val="List Continue 4"/>
    <w:basedOn w:val="List4"/>
    <w:rsid w:val="00675E4C"/>
    <w:pPr>
      <w:ind w:firstLine="0"/>
    </w:pPr>
  </w:style>
  <w:style w:type="paragraph" w:styleId="ListContinue5">
    <w:name w:val="List Continue 5"/>
    <w:basedOn w:val="List5"/>
    <w:rsid w:val="00675E4C"/>
    <w:pPr>
      <w:ind w:firstLine="0"/>
    </w:pPr>
  </w:style>
  <w:style w:type="paragraph" w:styleId="ListNumber3">
    <w:name w:val="List Number 3"/>
    <w:basedOn w:val="List3"/>
    <w:rsid w:val="00675E4C"/>
    <w:pPr>
      <w:numPr>
        <w:numId w:val="6"/>
      </w:numPr>
    </w:pPr>
  </w:style>
  <w:style w:type="paragraph" w:styleId="ListNumber4">
    <w:name w:val="List Number 4"/>
    <w:basedOn w:val="List4"/>
    <w:rsid w:val="00675E4C"/>
    <w:pPr>
      <w:numPr>
        <w:numId w:val="7"/>
      </w:numPr>
    </w:pPr>
  </w:style>
  <w:style w:type="paragraph" w:styleId="ListNumber5">
    <w:name w:val="List Number 5"/>
    <w:basedOn w:val="List5"/>
    <w:rsid w:val="00675E4C"/>
    <w:pPr>
      <w:numPr>
        <w:numId w:val="8"/>
      </w:numPr>
    </w:pPr>
  </w:style>
  <w:style w:type="paragraph" w:styleId="BlockText">
    <w:name w:val="Block Text"/>
    <w:basedOn w:val="Normal"/>
    <w:rsid w:val="00675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E4C"/>
    <w:rPr>
      <w:sz w:val="16"/>
      <w:vertAlign w:val="superscript"/>
    </w:rPr>
  </w:style>
  <w:style w:type="character" w:customStyle="1" w:styleId="Symbols">
    <w:name w:val="Symbols"/>
    <w:basedOn w:val="DefaultParagraphFont"/>
    <w:rsid w:val="00675E4C"/>
    <w:rPr>
      <w:rFonts w:ascii="Symbol" w:hAnsi="Symbol"/>
    </w:rPr>
  </w:style>
  <w:style w:type="character" w:customStyle="1" w:styleId="MenuOptions">
    <w:name w:val="Menu Options"/>
    <w:basedOn w:val="DefaultParagraphFont"/>
    <w:rsid w:val="00675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E4C"/>
    <w:rPr>
      <w:b/>
    </w:rPr>
  </w:style>
  <w:style w:type="character" w:customStyle="1" w:styleId="Underlined">
    <w:name w:val="Underlined"/>
    <w:basedOn w:val="DefaultParagraphFont"/>
    <w:rsid w:val="00675E4C"/>
    <w:rPr>
      <w:u w:val="single"/>
    </w:rPr>
  </w:style>
  <w:style w:type="paragraph" w:customStyle="1" w:styleId="TableBodyTextRight">
    <w:name w:val="Table Body Text Right"/>
    <w:basedOn w:val="TableBodyText"/>
    <w:rsid w:val="00675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E4C"/>
    <w:rPr>
      <w:sz w:val="18"/>
    </w:rPr>
  </w:style>
  <w:style w:type="paragraph" w:customStyle="1" w:styleId="BodySmallRight">
    <w:name w:val="Body Small Right"/>
    <w:basedOn w:val="BodyTextRight"/>
    <w:rsid w:val="00675E4C"/>
    <w:rPr>
      <w:sz w:val="18"/>
      <w:szCs w:val="18"/>
    </w:rPr>
  </w:style>
  <w:style w:type="paragraph" w:customStyle="1" w:styleId="MarginEdition">
    <w:name w:val="Margin Edition"/>
    <w:basedOn w:val="MarginNote"/>
    <w:rsid w:val="00675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E4C"/>
    <w:rPr>
      <w:sz w:val="2"/>
      <w:szCs w:val="2"/>
    </w:rPr>
  </w:style>
  <w:style w:type="character" w:customStyle="1" w:styleId="Small">
    <w:name w:val="Small"/>
    <w:basedOn w:val="DefaultParagraphFont"/>
    <w:rsid w:val="00675E4C"/>
    <w:rPr>
      <w:sz w:val="16"/>
    </w:rPr>
  </w:style>
  <w:style w:type="paragraph" w:customStyle="1" w:styleId="WideTable">
    <w:name w:val="Wide Table"/>
    <w:basedOn w:val="Normal"/>
    <w:rsid w:val="00675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E4C"/>
  </w:style>
  <w:style w:type="paragraph" w:styleId="Quote">
    <w:name w:val="Quote"/>
    <w:basedOn w:val="Heading1"/>
    <w:link w:val="QuoteChar"/>
    <w:qFormat/>
    <w:rsid w:val="00675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E4C"/>
    <w:pPr>
      <w:pageBreakBefore/>
    </w:pPr>
  </w:style>
  <w:style w:type="paragraph" w:customStyle="1" w:styleId="Border">
    <w:name w:val="Border"/>
    <w:basedOn w:val="Normal"/>
    <w:qFormat/>
    <w:rsid w:val="00675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E4C"/>
    <w:rPr>
      <w:u w:val="single"/>
    </w:rPr>
  </w:style>
  <w:style w:type="character" w:customStyle="1" w:styleId="BoldandItalics">
    <w:name w:val="Bold and Italics"/>
    <w:qFormat/>
    <w:rsid w:val="00675E4C"/>
    <w:rPr>
      <w:b/>
      <w:i/>
      <w:u w:val="none"/>
    </w:rPr>
  </w:style>
  <w:style w:type="paragraph" w:styleId="BalloonText">
    <w:name w:val="Balloon Text"/>
    <w:basedOn w:val="Normal"/>
    <w:link w:val="BalloonTextChar"/>
    <w:rsid w:val="00675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E4C"/>
    <w:pPr>
      <w:spacing w:before="0" w:after="0"/>
    </w:pPr>
  </w:style>
  <w:style w:type="paragraph" w:customStyle="1" w:styleId="BodyTextBold">
    <w:name w:val="Body Text Bold"/>
    <w:basedOn w:val="BodyText"/>
    <w:qFormat/>
    <w:rsid w:val="00675E4C"/>
    <w:rPr>
      <w:b/>
    </w:rPr>
  </w:style>
  <w:style w:type="character" w:styleId="Hyperlink">
    <w:name w:val="Hyperlink"/>
    <w:basedOn w:val="DefaultParagraphFont"/>
    <w:uiPriority w:val="99"/>
    <w:unhideWhenUsed/>
    <w:rsid w:val="00763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1352</Words>
  <Characters>9253</Characters>
  <Application>Microsoft Office Word</Application>
  <DocSecurity>0</DocSecurity>
  <Lines>272</Lines>
  <Paragraphs>216</Paragraphs>
  <ScaleCrop>false</ScaleCrop>
  <Company>Author-it Software Corporation Ltd.</Company>
  <LinksUpToDate>false</LinksUpToDate>
  <CharactersWithSpaces>10389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HLTANA013 Assist with clinical procedures used in anaesthesia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