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DD0" w:rsidP="00D56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HLTANA013 Assist with clinical procedures used in anaesthesia</w:t>
      </w:r>
      <w:r>
        <w:fldChar w:fldCharType="end"/>
      </w:r>
    </w:p>
    <w:p w:rsidR="00D56DD0" w:rsidP="00D56DD0">
      <w:pPr>
        <w:pStyle w:val="Version"/>
        <w:sectPr w:rsidSect="00487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2A8" w:rsidP="004872A8">
      <w:pPr>
        <w:pStyle w:val="SuperHeading"/>
      </w:pPr>
      <w:r w:rsidRPr="004872A8">
        <w:t>Assessment Requirements for HLTANA013 Assist with clinical procedures used in anaesthesia</w:t>
      </w:r>
    </w:p>
    <w:p w:rsidR="00000000" w:rsidRPr="004872A8" w:rsidP="004872A8">
      <w:pPr>
        <w:pStyle w:val="Heading1"/>
      </w:pPr>
      <w:bookmarkStart w:id="1" w:name="O_1198995"/>
      <w:bookmarkEnd w:id="1"/>
      <w:r w:rsidRPr="004872A8">
        <w:t>Modification History</w:t>
      </w:r>
    </w:p>
    <w:p w:rsidR="00000000" w:rsidRPr="004872A8" w:rsidP="00D56DD0">
      <w:pPr>
        <w:pStyle w:val="BodyText"/>
      </w:pPr>
      <w:r w:rsidRPr="004872A8">
        <w:t>Supersedes and is not equivalent to HLTANA006 Assist with clinical procedures used in anaesthesia.</w:t>
      </w:r>
    </w:p>
    <w:p w:rsidR="00000000" w:rsidRPr="004872A8" w:rsidP="004872A8">
      <w:pPr>
        <w:pStyle w:val="Heading1"/>
      </w:pPr>
      <w:bookmarkStart w:id="2" w:name="O_1198996"/>
      <w:bookmarkEnd w:id="2"/>
      <w:r w:rsidRPr="004872A8">
        <w:t>Performance Evidence</w:t>
      </w:r>
    </w:p>
    <w:p w:rsidR="00000000" w:rsidRPr="004872A8" w:rsidP="00D56DD0">
      <w:pPr>
        <w:pStyle w:val="BodyText"/>
      </w:pPr>
      <w:r w:rsidRPr="004872A8">
        <w:t>Evidence of the ability to complete tasks outlined in elements and performance criteria of this unit in the context of the job role, and:</w:t>
      </w:r>
    </w:p>
    <w:p w:rsidR="00000000" w:rsidRPr="004872A8" w:rsidP="004872A8">
      <w:pPr>
        <w:pStyle w:val="ListBullet"/>
      </w:pPr>
      <w:r w:rsidRPr="004872A8">
        <w:t>for each of the following procedures, plan, prepare and assist during induction, maintenance and</w:t>
      </w:r>
      <w:r w:rsidRPr="004872A8">
        <w:t xml:space="preserve"> completion of anaesthesia, for at least three cases each:</w:t>
      </w:r>
    </w:p>
    <w:p w:rsidR="00000000" w:rsidRPr="004872A8" w:rsidP="004872A8">
      <w:pPr>
        <w:pStyle w:val="ListBullet2"/>
      </w:pPr>
      <w:r w:rsidRPr="004872A8">
        <w:t>general surgery and gastro-intestinal including major laparotomy and minor surgery</w:t>
      </w:r>
    </w:p>
    <w:p w:rsidR="00000000" w:rsidRPr="004872A8" w:rsidP="004872A8">
      <w:pPr>
        <w:pStyle w:val="ListBullet2"/>
      </w:pPr>
      <w:r w:rsidRPr="004872A8">
        <w:t>ear, nose and throat surgery</w:t>
      </w:r>
    </w:p>
    <w:p w:rsidR="00000000" w:rsidRPr="004872A8" w:rsidP="004872A8">
      <w:pPr>
        <w:pStyle w:val="ListBullet2"/>
      </w:pPr>
      <w:r w:rsidRPr="004872A8">
        <w:t>gynaecological surgery including major and minor</w:t>
      </w:r>
    </w:p>
    <w:p w:rsidR="00000000" w:rsidRPr="004872A8" w:rsidP="004872A8">
      <w:pPr>
        <w:pStyle w:val="ListBullet2"/>
      </w:pPr>
      <w:r w:rsidRPr="004872A8">
        <w:t>obstetric surgery</w:t>
      </w:r>
    </w:p>
    <w:p w:rsidR="00000000" w:rsidRPr="004872A8" w:rsidP="004872A8">
      <w:pPr>
        <w:pStyle w:val="ListBullet2"/>
      </w:pPr>
      <w:r w:rsidRPr="004872A8">
        <w:t>orthopaedic surge</w:t>
      </w:r>
      <w:r w:rsidRPr="004872A8">
        <w:t>ry including major and minor</w:t>
      </w:r>
    </w:p>
    <w:p w:rsidR="00000000" w:rsidRPr="004872A8" w:rsidP="004872A8">
      <w:pPr>
        <w:pStyle w:val="ListBullet2"/>
      </w:pPr>
      <w:r w:rsidRPr="004872A8">
        <w:t>vascular surgery including major and minor</w:t>
      </w:r>
    </w:p>
    <w:p w:rsidR="00000000" w:rsidRPr="004872A8" w:rsidP="004872A8">
      <w:pPr>
        <w:pStyle w:val="ListBullet2"/>
      </w:pPr>
      <w:r w:rsidRPr="004872A8">
        <w:t>urological surgery including major and minor</w:t>
      </w:r>
    </w:p>
    <w:p w:rsidR="00000000" w:rsidRPr="004872A8" w:rsidP="004872A8">
      <w:pPr>
        <w:pStyle w:val="ListBullet2"/>
      </w:pPr>
      <w:r w:rsidRPr="004872A8">
        <w:t>paediatric including minor ear nose and throat (ENT), general and orthopaedic</w:t>
      </w:r>
    </w:p>
    <w:p w:rsidR="00000000" w:rsidRPr="004872A8" w:rsidP="004872A8">
      <w:pPr>
        <w:pStyle w:val="ListBullet2"/>
      </w:pPr>
      <w:r w:rsidRPr="004872A8">
        <w:t>remote site anaesthesia:</w:t>
      </w:r>
    </w:p>
    <w:p w:rsidR="00000000" w:rsidRPr="004872A8" w:rsidP="004872A8">
      <w:pPr>
        <w:pStyle w:val="ListBullet3"/>
      </w:pPr>
      <w:r w:rsidRPr="004872A8">
        <w:t>medical imaging and electroconvulsive therapy (ECT)</w:t>
      </w:r>
    </w:p>
    <w:p w:rsidR="00000000" w:rsidRPr="004872A8" w:rsidP="004872A8">
      <w:pPr>
        <w:pStyle w:val="ListBullet3"/>
      </w:pPr>
      <w:r w:rsidRPr="004872A8">
        <w:t>angiography, endoscopy and cath lab</w:t>
      </w:r>
    </w:p>
    <w:p w:rsidR="00000000" w:rsidRPr="004872A8" w:rsidP="004872A8">
      <w:pPr>
        <w:pStyle w:val="ListBullet"/>
      </w:pPr>
      <w:r w:rsidRPr="004872A8">
        <w:t xml:space="preserve">provide assistance with at least five of the following procedures on at least three occasions, ensuring use of aseptic technique: </w:t>
      </w:r>
    </w:p>
    <w:p w:rsidR="00000000" w:rsidRPr="004872A8" w:rsidP="004872A8">
      <w:pPr>
        <w:pStyle w:val="ListBullet2"/>
      </w:pPr>
      <w:r w:rsidRPr="004872A8">
        <w:t>arterial line</w:t>
      </w:r>
    </w:p>
    <w:p w:rsidR="00000000" w:rsidRPr="004872A8" w:rsidP="004872A8">
      <w:pPr>
        <w:pStyle w:val="ListBullet2"/>
      </w:pPr>
      <w:r w:rsidRPr="004872A8">
        <w:t>central venous cathet</w:t>
      </w:r>
      <w:r w:rsidRPr="004872A8">
        <w:t xml:space="preserve">er </w:t>
      </w:r>
    </w:p>
    <w:p w:rsidR="00000000" w:rsidRPr="004872A8" w:rsidP="004872A8">
      <w:pPr>
        <w:pStyle w:val="ListBullet2"/>
      </w:pPr>
      <w:r w:rsidRPr="004872A8">
        <w:t xml:space="preserve">local </w:t>
      </w:r>
    </w:p>
    <w:p w:rsidR="00000000" w:rsidRPr="004872A8" w:rsidP="004872A8">
      <w:pPr>
        <w:pStyle w:val="ListBullet2"/>
      </w:pPr>
      <w:r w:rsidRPr="004872A8">
        <w:t xml:space="preserve">regional blocks </w:t>
      </w:r>
    </w:p>
    <w:p w:rsidR="00000000" w:rsidRPr="004872A8" w:rsidP="004872A8">
      <w:pPr>
        <w:pStyle w:val="ListBullet2"/>
      </w:pPr>
      <w:r w:rsidRPr="004872A8">
        <w:t xml:space="preserve">epidural and combined spinal-epidural </w:t>
      </w:r>
    </w:p>
    <w:p w:rsidR="00000000" w:rsidRPr="004872A8" w:rsidP="004872A8">
      <w:pPr>
        <w:pStyle w:val="ListBullet2"/>
      </w:pPr>
      <w:r w:rsidRPr="004872A8">
        <w:t>spinal</w:t>
      </w:r>
    </w:p>
    <w:p w:rsidR="00000000" w:rsidRPr="004872A8" w:rsidP="004872A8">
      <w:pPr>
        <w:pStyle w:val="ListBullet2"/>
      </w:pPr>
      <w:r w:rsidRPr="004872A8">
        <w:t>rapid infusion</w:t>
      </w:r>
    </w:p>
    <w:p w:rsidR="00000000" w:rsidRPr="004872A8" w:rsidP="004872A8">
      <w:pPr>
        <w:pStyle w:val="ListBullet"/>
      </w:pPr>
      <w:r w:rsidRPr="004872A8">
        <w:t>monitor physiological parameters with reference to standard values of normal physiological function for each patient’s usual parameters</w:t>
      </w:r>
    </w:p>
    <w:p w:rsidR="00000000" w:rsidRPr="004872A8" w:rsidP="004872A8">
      <w:pPr>
        <w:pStyle w:val="ListBullet"/>
      </w:pPr>
      <w:r w:rsidRPr="004872A8">
        <w:t>perform the activities outlined in the performance criteria of this unit during a period of at least 360 hours of work related to anaesthetic technology in a clinical workplace environment. These 360 hours may be applied collectively across all units of co</w:t>
      </w:r>
      <w:r w:rsidRPr="004872A8">
        <w:t>mpetency that include the requirement for workplace hours for the purposes of assessment.</w:t>
      </w:r>
    </w:p>
    <w:p w:rsidR="00000000" w:rsidRPr="004872A8" w:rsidP="004872A8">
      <w:pPr>
        <w:pStyle w:val="AllowPageBreak"/>
      </w:pPr>
    </w:p>
    <w:p w:rsidR="00000000" w:rsidRPr="004872A8" w:rsidP="004872A8">
      <w:pPr>
        <w:pStyle w:val="Heading1"/>
      </w:pPr>
      <w:bookmarkStart w:id="3" w:name="O_1198997"/>
      <w:bookmarkEnd w:id="3"/>
      <w:r w:rsidRPr="004872A8">
        <w:t>Knowledge Evidence</w:t>
      </w:r>
    </w:p>
    <w:p w:rsidR="00000000" w:rsidRPr="004872A8" w:rsidP="00D56DD0">
      <w:pPr>
        <w:pStyle w:val="BodyText"/>
      </w:pPr>
      <w:r w:rsidRPr="004872A8">
        <w:t>Demonstrated knowledge required to complete the tasks outlined in elements and performance criteria of this unit:</w:t>
      </w:r>
    </w:p>
    <w:p w:rsidR="00000000" w:rsidRPr="004872A8" w:rsidP="004872A8">
      <w:pPr>
        <w:pStyle w:val="ListBullet"/>
      </w:pPr>
      <w:r w:rsidRPr="004872A8">
        <w:t>national, sta</w:t>
      </w:r>
      <w:r w:rsidRPr="004872A8">
        <w:t>te or territory legal and ethical considerations for clinical procedures, and how these are applied in organisations:</w:t>
      </w:r>
    </w:p>
    <w:p w:rsidR="00000000" w:rsidRPr="004872A8" w:rsidP="004872A8">
      <w:pPr>
        <w:pStyle w:val="ListBullet2"/>
      </w:pPr>
      <w:r w:rsidRPr="004872A8">
        <w:t>codes of practice</w:t>
      </w:r>
    </w:p>
    <w:p w:rsidR="00000000" w:rsidRPr="004872A8" w:rsidP="004872A8">
      <w:pPr>
        <w:pStyle w:val="ListBullet2"/>
      </w:pPr>
      <w:r w:rsidRPr="004872A8">
        <w:t>duty of care</w:t>
      </w:r>
    </w:p>
    <w:p w:rsidR="00000000" w:rsidRPr="004872A8" w:rsidP="004872A8">
      <w:pPr>
        <w:pStyle w:val="ListBullet2"/>
      </w:pPr>
      <w:r w:rsidRPr="004872A8">
        <w:t xml:space="preserve">infection prevention and control </w:t>
      </w:r>
    </w:p>
    <w:p w:rsidR="00000000" w:rsidRPr="004872A8" w:rsidP="004872A8">
      <w:pPr>
        <w:pStyle w:val="ListBullet2"/>
      </w:pPr>
      <w:r w:rsidRPr="004872A8">
        <w:t xml:space="preserve">informed consent </w:t>
      </w:r>
    </w:p>
    <w:p w:rsidR="00000000" w:rsidRPr="004872A8" w:rsidP="004872A8">
      <w:pPr>
        <w:pStyle w:val="ListBullet2"/>
      </w:pPr>
      <w:r w:rsidRPr="004872A8">
        <w:t xml:space="preserve">mandatory reporting </w:t>
      </w:r>
    </w:p>
    <w:p w:rsidR="00000000" w:rsidRPr="004872A8" w:rsidP="004872A8">
      <w:pPr>
        <w:pStyle w:val="ListBullet2"/>
      </w:pPr>
      <w:r w:rsidRPr="004872A8">
        <w:t>privacy, confidentiality and disclosure</w:t>
      </w:r>
    </w:p>
    <w:p w:rsidR="00000000" w:rsidRPr="004872A8" w:rsidP="004872A8">
      <w:pPr>
        <w:pStyle w:val="ListBullet2"/>
      </w:pPr>
      <w:r w:rsidRPr="004872A8">
        <w:t>records management and clinical documentation</w:t>
      </w:r>
    </w:p>
    <w:p w:rsidR="00000000" w:rsidRPr="004872A8" w:rsidP="004872A8">
      <w:pPr>
        <w:pStyle w:val="ListBullet2"/>
      </w:pPr>
      <w:r w:rsidRPr="004872A8">
        <w:t>rights and responsibilities of workers, employers and patients</w:t>
      </w:r>
    </w:p>
    <w:p w:rsidR="00000000" w:rsidRPr="004872A8" w:rsidP="004872A8">
      <w:pPr>
        <w:pStyle w:val="ListBullet2"/>
      </w:pPr>
      <w:r w:rsidRPr="004872A8">
        <w:t>work role boundaries including responsibilities and limitations</w:t>
      </w:r>
    </w:p>
    <w:p w:rsidR="00000000" w:rsidRPr="004872A8" w:rsidP="004872A8">
      <w:pPr>
        <w:pStyle w:val="ListBullet2"/>
      </w:pPr>
      <w:r w:rsidRPr="004872A8">
        <w:t>work health and safety (WHS)</w:t>
      </w:r>
    </w:p>
    <w:p w:rsidR="00000000" w:rsidRPr="004872A8" w:rsidP="004872A8">
      <w:pPr>
        <w:pStyle w:val="ListBullet"/>
      </w:pPr>
      <w:r w:rsidRPr="004872A8">
        <w:t>types of regi</w:t>
      </w:r>
      <w:r w:rsidRPr="004872A8">
        <w:t>onal and invasive procedures, how they are performed, and the anaesthetic technician’s role, for the following:</w:t>
      </w:r>
    </w:p>
    <w:p w:rsidR="00000000" w:rsidRPr="004872A8" w:rsidP="004872A8">
      <w:pPr>
        <w:pStyle w:val="ListBullet2"/>
      </w:pPr>
      <w:r w:rsidRPr="004872A8">
        <w:t xml:space="preserve">spinal </w:t>
      </w:r>
    </w:p>
    <w:p w:rsidR="00000000" w:rsidRPr="004872A8" w:rsidP="004872A8">
      <w:pPr>
        <w:pStyle w:val="ListBullet2"/>
      </w:pPr>
      <w:r w:rsidRPr="004872A8">
        <w:t xml:space="preserve">epidural </w:t>
      </w:r>
    </w:p>
    <w:p w:rsidR="00000000" w:rsidRPr="004872A8" w:rsidP="004872A8">
      <w:pPr>
        <w:pStyle w:val="ListBullet2"/>
      </w:pPr>
      <w:r w:rsidRPr="004872A8">
        <w:t xml:space="preserve">combined spinal-epidural </w:t>
      </w:r>
    </w:p>
    <w:p w:rsidR="00000000" w:rsidRPr="004872A8" w:rsidP="004872A8">
      <w:pPr>
        <w:pStyle w:val="ListBullet2"/>
      </w:pPr>
      <w:r w:rsidRPr="004872A8">
        <w:t xml:space="preserve">caudal </w:t>
      </w:r>
    </w:p>
    <w:p w:rsidR="00000000" w:rsidRPr="004872A8" w:rsidP="004872A8">
      <w:pPr>
        <w:pStyle w:val="ListBullet2"/>
      </w:pPr>
      <w:r w:rsidRPr="004872A8">
        <w:t xml:space="preserve">local </w:t>
      </w:r>
    </w:p>
    <w:p w:rsidR="00000000" w:rsidRPr="004872A8" w:rsidP="004872A8">
      <w:pPr>
        <w:pStyle w:val="ListBullet2"/>
      </w:pPr>
      <w:r w:rsidRPr="004872A8">
        <w:t>regional blocks</w:t>
      </w:r>
    </w:p>
    <w:p w:rsidR="00000000" w:rsidRPr="004872A8" w:rsidP="004872A8">
      <w:pPr>
        <w:pStyle w:val="ListBullet2"/>
      </w:pPr>
      <w:r w:rsidRPr="004872A8">
        <w:t>blood patch</w:t>
      </w:r>
    </w:p>
    <w:p w:rsidR="00000000" w:rsidRPr="004872A8" w:rsidP="004872A8">
      <w:pPr>
        <w:pStyle w:val="ListBullet2"/>
      </w:pPr>
      <w:r w:rsidRPr="004872A8">
        <w:t>arterial line</w:t>
      </w:r>
    </w:p>
    <w:p w:rsidR="00000000" w:rsidRPr="004872A8" w:rsidP="004872A8">
      <w:pPr>
        <w:pStyle w:val="ListBullet2"/>
      </w:pPr>
      <w:r w:rsidRPr="004872A8">
        <w:t xml:space="preserve">central venous catheter </w:t>
      </w:r>
    </w:p>
    <w:p w:rsidR="00000000" w:rsidRPr="004872A8" w:rsidP="004872A8">
      <w:pPr>
        <w:pStyle w:val="ListBullet2"/>
      </w:pPr>
      <w:r w:rsidRPr="004872A8">
        <w:t xml:space="preserve">peripherally inserted central catheter (PICC) </w:t>
      </w:r>
    </w:p>
    <w:p w:rsidR="00000000" w:rsidRPr="004872A8" w:rsidP="004872A8">
      <w:pPr>
        <w:pStyle w:val="ListBullet2"/>
      </w:pPr>
      <w:r w:rsidRPr="004872A8">
        <w:t xml:space="preserve">midline catheter </w:t>
      </w:r>
    </w:p>
    <w:p w:rsidR="00000000" w:rsidRPr="004872A8" w:rsidP="004872A8">
      <w:pPr>
        <w:pStyle w:val="ListBullet2"/>
      </w:pPr>
      <w:r w:rsidRPr="004872A8">
        <w:t xml:space="preserve">transoesophageal echocardiograph (TOE) </w:t>
      </w:r>
    </w:p>
    <w:p w:rsidR="00000000" w:rsidRPr="004872A8" w:rsidP="004872A8">
      <w:pPr>
        <w:pStyle w:val="ListBullet2"/>
      </w:pPr>
      <w:r w:rsidRPr="004872A8">
        <w:t xml:space="preserve">intercostal drainage </w:t>
      </w:r>
    </w:p>
    <w:p w:rsidR="00000000" w:rsidRPr="004872A8" w:rsidP="004872A8">
      <w:pPr>
        <w:pStyle w:val="ListBullet2"/>
      </w:pPr>
      <w:r w:rsidRPr="004872A8">
        <w:t>pain management procedures e.g. chemical sympathectomy</w:t>
      </w:r>
    </w:p>
    <w:p w:rsidR="00000000" w:rsidRPr="004872A8" w:rsidP="004872A8">
      <w:pPr>
        <w:pStyle w:val="ListBullet2"/>
      </w:pPr>
      <w:r w:rsidRPr="004872A8">
        <w:t xml:space="preserve">external pacing </w:t>
      </w:r>
    </w:p>
    <w:p w:rsidR="00000000" w:rsidRPr="004872A8" w:rsidP="004872A8">
      <w:pPr>
        <w:pStyle w:val="ListBullet"/>
      </w:pPr>
      <w:r w:rsidRPr="004872A8">
        <w:t>types of equipment used for regional and invasive proced</w:t>
      </w:r>
      <w:r w:rsidRPr="004872A8">
        <w:t>ures, i.e. tourniquets, ultrasound and diathermy including:</w:t>
      </w:r>
    </w:p>
    <w:p w:rsidR="00000000" w:rsidRPr="004872A8" w:rsidP="004872A8">
      <w:pPr>
        <w:pStyle w:val="ListBullet2"/>
      </w:pPr>
      <w:r w:rsidRPr="004872A8">
        <w:t>function and operating guidelines</w:t>
      </w:r>
    </w:p>
    <w:p w:rsidR="00000000" w:rsidRPr="004872A8" w:rsidP="004872A8">
      <w:pPr>
        <w:pStyle w:val="ListBullet2"/>
      </w:pPr>
      <w:r w:rsidRPr="004872A8">
        <w:t>use, indications and limitations</w:t>
      </w:r>
    </w:p>
    <w:p w:rsidR="00000000" w:rsidRPr="004872A8" w:rsidP="004872A8">
      <w:pPr>
        <w:pStyle w:val="ListBullet2"/>
      </w:pPr>
      <w:r w:rsidRPr="004872A8">
        <w:t xml:space="preserve">criteria for withdrawal </w:t>
      </w:r>
    </w:p>
    <w:p w:rsidR="00000000" w:rsidRPr="004872A8" w:rsidP="004872A8">
      <w:pPr>
        <w:pStyle w:val="ListBullet"/>
      </w:pPr>
      <w:r w:rsidRPr="004872A8">
        <w:t>monitoring and maintenance of stock levels perioperatively, including CO2 absorber, medications, fluid</w:t>
      </w:r>
      <w:r w:rsidRPr="004872A8">
        <w:t>s, consumables</w:t>
      </w:r>
    </w:p>
    <w:p w:rsidR="00000000" w:rsidRPr="004872A8" w:rsidP="004872A8">
      <w:pPr>
        <w:pStyle w:val="ListBullet"/>
      </w:pPr>
      <w:r w:rsidRPr="004872A8">
        <w:t>anatomy, physiology factors that impact regional and invasive procedures for different patient groups</w:t>
      </w:r>
    </w:p>
    <w:p w:rsidR="00000000" w:rsidRPr="004872A8" w:rsidP="004872A8">
      <w:pPr>
        <w:pStyle w:val="ListBullet"/>
      </w:pPr>
      <w:r w:rsidRPr="004872A8">
        <w:t xml:space="preserve">pre-medications and their effects </w:t>
      </w:r>
    </w:p>
    <w:p w:rsidR="00000000" w:rsidRPr="004872A8" w:rsidP="004872A8">
      <w:pPr>
        <w:pStyle w:val="ListBullet"/>
      </w:pPr>
      <w:r w:rsidRPr="004872A8">
        <w:t>types of surgery:</w:t>
      </w:r>
    </w:p>
    <w:p w:rsidR="00000000" w:rsidRPr="004872A8" w:rsidP="004872A8">
      <w:pPr>
        <w:pStyle w:val="ListBullet2"/>
      </w:pPr>
      <w:r w:rsidRPr="004872A8">
        <w:t>emergency</w:t>
      </w:r>
    </w:p>
    <w:p w:rsidR="00000000" w:rsidRPr="004872A8" w:rsidP="004872A8">
      <w:pPr>
        <w:pStyle w:val="ListBullet2"/>
      </w:pPr>
      <w:r w:rsidRPr="004872A8">
        <w:t>urgent</w:t>
      </w:r>
    </w:p>
    <w:p w:rsidR="00000000" w:rsidRPr="004872A8" w:rsidP="004872A8">
      <w:pPr>
        <w:pStyle w:val="ListBullet2"/>
      </w:pPr>
      <w:r w:rsidRPr="004872A8">
        <w:t>elective</w:t>
      </w:r>
    </w:p>
    <w:p w:rsidR="00000000" w:rsidRPr="004872A8" w:rsidP="004872A8">
      <w:pPr>
        <w:pStyle w:val="ListBullet2"/>
      </w:pPr>
      <w:r w:rsidRPr="004872A8">
        <w:t xml:space="preserve">day case </w:t>
      </w:r>
    </w:p>
    <w:p w:rsidR="00000000" w:rsidRPr="004872A8" w:rsidP="004872A8">
      <w:pPr>
        <w:pStyle w:val="ListBullet"/>
      </w:pPr>
      <w:r w:rsidRPr="004872A8">
        <w:t>types of common surgical procedures, their classification and factors for planning, preparation and management of anaesthesia, including:</w:t>
      </w:r>
    </w:p>
    <w:p w:rsidR="00000000" w:rsidRPr="004872A8" w:rsidP="004872A8">
      <w:pPr>
        <w:pStyle w:val="ListBullet2"/>
      </w:pPr>
      <w:r w:rsidRPr="004872A8">
        <w:t>general surgery and gastro-intestinal including major and minor laparotomy</w:t>
      </w:r>
    </w:p>
    <w:p w:rsidR="00000000" w:rsidRPr="004872A8" w:rsidP="004872A8">
      <w:pPr>
        <w:pStyle w:val="ListBullet2"/>
      </w:pPr>
      <w:r w:rsidRPr="004872A8">
        <w:t>ear, nose and throat surgery</w:t>
      </w:r>
    </w:p>
    <w:p w:rsidR="00000000" w:rsidRPr="004872A8" w:rsidP="004872A8">
      <w:pPr>
        <w:pStyle w:val="ListBullet2"/>
      </w:pPr>
      <w:r w:rsidRPr="004872A8">
        <w:t>minor and maj</w:t>
      </w:r>
      <w:r w:rsidRPr="004872A8">
        <w:t xml:space="preserve">or maxillofacial surgery </w:t>
      </w:r>
    </w:p>
    <w:p w:rsidR="00000000" w:rsidRPr="004872A8" w:rsidP="004872A8">
      <w:pPr>
        <w:pStyle w:val="ListBullet2"/>
      </w:pPr>
      <w:r w:rsidRPr="004872A8">
        <w:t>gynaecological surgery including major and minor</w:t>
      </w:r>
    </w:p>
    <w:p w:rsidR="00000000" w:rsidRPr="004872A8" w:rsidP="004872A8">
      <w:pPr>
        <w:pStyle w:val="ListBullet2"/>
      </w:pPr>
      <w:r w:rsidRPr="004872A8">
        <w:t>obstetric surgery</w:t>
      </w:r>
    </w:p>
    <w:p w:rsidR="00000000" w:rsidRPr="004872A8" w:rsidP="004872A8">
      <w:pPr>
        <w:pStyle w:val="ListBullet2"/>
      </w:pPr>
      <w:r w:rsidRPr="004872A8">
        <w:t>orthopaedic surgery including major and minor</w:t>
      </w:r>
    </w:p>
    <w:p w:rsidR="00000000" w:rsidRPr="004872A8" w:rsidP="004872A8">
      <w:pPr>
        <w:pStyle w:val="ListBullet2"/>
      </w:pPr>
      <w:r w:rsidRPr="004872A8">
        <w:t>vascular surgery including major and minor</w:t>
      </w:r>
    </w:p>
    <w:p w:rsidR="00000000" w:rsidRPr="004872A8" w:rsidP="004872A8">
      <w:pPr>
        <w:pStyle w:val="ListBullet2"/>
      </w:pPr>
      <w:r w:rsidRPr="004872A8">
        <w:t>urological surgery including major and minor</w:t>
      </w:r>
    </w:p>
    <w:p w:rsidR="00000000" w:rsidRPr="004872A8" w:rsidP="004872A8">
      <w:pPr>
        <w:pStyle w:val="ListBullet2"/>
      </w:pPr>
      <w:r w:rsidRPr="004872A8">
        <w:t>ophthalmic surgery</w:t>
      </w:r>
    </w:p>
    <w:p w:rsidR="00000000" w:rsidRPr="004872A8" w:rsidP="004872A8">
      <w:pPr>
        <w:pStyle w:val="ListBullet2"/>
      </w:pPr>
      <w:r w:rsidRPr="004872A8">
        <w:t>neurosurgery including:</w:t>
      </w:r>
    </w:p>
    <w:p w:rsidR="00000000" w:rsidRPr="004872A8" w:rsidP="004872A8">
      <w:pPr>
        <w:pStyle w:val="ListBullet3"/>
      </w:pPr>
      <w:r w:rsidRPr="004872A8">
        <w:t>laminectomy</w:t>
      </w:r>
    </w:p>
    <w:p w:rsidR="00000000" w:rsidRPr="004872A8" w:rsidP="004872A8">
      <w:pPr>
        <w:pStyle w:val="ListBullet3"/>
      </w:pPr>
      <w:r w:rsidRPr="004872A8">
        <w:t>microdiscectomy</w:t>
      </w:r>
    </w:p>
    <w:p w:rsidR="00000000" w:rsidRPr="004872A8" w:rsidP="004872A8">
      <w:pPr>
        <w:pStyle w:val="ListBullet3"/>
      </w:pPr>
      <w:r w:rsidRPr="004872A8">
        <w:t>paediatric</w:t>
      </w:r>
    </w:p>
    <w:p w:rsidR="00000000" w:rsidRPr="004872A8" w:rsidP="004872A8">
      <w:pPr>
        <w:pStyle w:val="ListBullet3"/>
      </w:pPr>
      <w:r w:rsidRPr="004872A8">
        <w:t>minor ENT, general and orthopaedic</w:t>
      </w:r>
    </w:p>
    <w:p w:rsidR="00000000" w:rsidRPr="004872A8" w:rsidP="004872A8">
      <w:pPr>
        <w:pStyle w:val="ListBullet2"/>
      </w:pPr>
      <w:r w:rsidRPr="004872A8">
        <w:t>dental or faciomaxillary surgery</w:t>
      </w:r>
    </w:p>
    <w:p w:rsidR="00000000" w:rsidRPr="004872A8" w:rsidP="004872A8">
      <w:pPr>
        <w:pStyle w:val="ListBullet2"/>
      </w:pPr>
      <w:r w:rsidRPr="004872A8">
        <w:t>cardiothoracic surgery</w:t>
      </w:r>
    </w:p>
    <w:p w:rsidR="00000000" w:rsidRPr="004872A8" w:rsidP="004872A8">
      <w:pPr>
        <w:pStyle w:val="ListBullet2"/>
      </w:pPr>
      <w:r w:rsidRPr="004872A8">
        <w:t>neurosurgery</w:t>
      </w:r>
    </w:p>
    <w:p w:rsidR="00000000" w:rsidRPr="004872A8" w:rsidP="004872A8">
      <w:pPr>
        <w:pStyle w:val="ListBullet2"/>
      </w:pPr>
      <w:r w:rsidRPr="004872A8">
        <w:t xml:space="preserve">plastic or reconstructive surgery </w:t>
      </w:r>
    </w:p>
    <w:p w:rsidR="00000000" w:rsidRPr="004872A8" w:rsidP="004872A8">
      <w:pPr>
        <w:pStyle w:val="ListBullet2"/>
      </w:pPr>
      <w:r w:rsidRPr="004872A8">
        <w:t>trauma or emergency surgery</w:t>
      </w:r>
    </w:p>
    <w:p w:rsidR="00000000" w:rsidRPr="004872A8" w:rsidP="004872A8">
      <w:pPr>
        <w:pStyle w:val="ListBullet2"/>
      </w:pPr>
      <w:r w:rsidRPr="004872A8">
        <w:t xml:space="preserve">remote site anaesthesia </w:t>
      </w:r>
      <w:r w:rsidRPr="004872A8">
        <w:t>including radiology, ECT or endoscopy</w:t>
      </w:r>
    </w:p>
    <w:p w:rsidR="00000000" w:rsidRPr="004872A8" w:rsidP="004872A8">
      <w:pPr>
        <w:pStyle w:val="ListBullet"/>
      </w:pPr>
      <w:r w:rsidRPr="004872A8">
        <w:t xml:space="preserve">indications for surgery and risk factors </w:t>
      </w:r>
    </w:p>
    <w:p w:rsidR="00000000" w:rsidRPr="004872A8" w:rsidP="004872A8">
      <w:pPr>
        <w:pStyle w:val="ListBullet"/>
      </w:pPr>
      <w:r w:rsidRPr="004872A8">
        <w:t>surgical approaches and duration of surgery</w:t>
      </w:r>
    </w:p>
    <w:p w:rsidR="00000000" w:rsidRPr="004872A8" w:rsidP="004872A8">
      <w:pPr>
        <w:pStyle w:val="ListBullet"/>
      </w:pPr>
      <w:r w:rsidRPr="004872A8">
        <w:t>position of patients for surgery</w:t>
      </w:r>
    </w:p>
    <w:p w:rsidR="00000000" w:rsidRPr="004872A8" w:rsidP="004872A8">
      <w:pPr>
        <w:pStyle w:val="ListBullet"/>
      </w:pPr>
      <w:r w:rsidRPr="004872A8">
        <w:t>common anaesthetic and surgical complications</w:t>
      </w:r>
    </w:p>
    <w:p w:rsidR="00000000" w:rsidRPr="004872A8" w:rsidP="004872A8">
      <w:pPr>
        <w:pStyle w:val="ListBullet"/>
      </w:pPr>
      <w:r w:rsidRPr="004872A8">
        <w:t>risk of anaesthetic technique for surgical procedure</w:t>
      </w:r>
    </w:p>
    <w:p w:rsidR="00000000" w:rsidRPr="004872A8" w:rsidP="004872A8">
      <w:pPr>
        <w:pStyle w:val="ListBullet"/>
      </w:pPr>
      <w:r w:rsidRPr="004872A8">
        <w:t xml:space="preserve">specialty medications required perioperatively </w:t>
      </w:r>
    </w:p>
    <w:p w:rsidR="00000000" w:rsidRPr="004872A8" w:rsidP="004872A8">
      <w:pPr>
        <w:pStyle w:val="ListBullet"/>
      </w:pPr>
      <w:r w:rsidRPr="004872A8">
        <w:t>expected blood loss for different types of surgery</w:t>
      </w:r>
    </w:p>
    <w:p w:rsidR="00000000" w:rsidRPr="004872A8" w:rsidP="004872A8">
      <w:pPr>
        <w:pStyle w:val="ListBullet"/>
      </w:pPr>
      <w:r w:rsidRPr="004872A8">
        <w:t>events during surgery that could affect anaesthesia, including:</w:t>
      </w:r>
    </w:p>
    <w:p w:rsidR="00000000" w:rsidRPr="004872A8" w:rsidP="004872A8">
      <w:pPr>
        <w:pStyle w:val="ListBullet2"/>
      </w:pPr>
      <w:r w:rsidRPr="004872A8">
        <w:t>massive haemorrhage</w:t>
      </w:r>
    </w:p>
    <w:p w:rsidR="00000000" w:rsidRPr="004872A8" w:rsidP="004872A8">
      <w:pPr>
        <w:pStyle w:val="ListBullet2"/>
      </w:pPr>
      <w:r w:rsidRPr="004872A8">
        <w:t>patient repositioning</w:t>
      </w:r>
    </w:p>
    <w:p w:rsidR="00000000" w:rsidRPr="004872A8" w:rsidP="004872A8">
      <w:pPr>
        <w:pStyle w:val="ListBullet2"/>
      </w:pPr>
      <w:r w:rsidRPr="004872A8">
        <w:t xml:space="preserve">cross clamping and unclamping of aorta and other </w:t>
      </w:r>
      <w:r w:rsidRPr="004872A8">
        <w:t>major blood vessels</w:t>
      </w:r>
    </w:p>
    <w:p w:rsidR="00000000" w:rsidRPr="004872A8" w:rsidP="004872A8">
      <w:pPr>
        <w:pStyle w:val="ListBullet2"/>
      </w:pPr>
      <w:r w:rsidRPr="004872A8">
        <w:t>orthopaedic bone cement syndrome</w:t>
      </w:r>
    </w:p>
    <w:p w:rsidR="00000000" w:rsidRPr="004872A8" w:rsidP="004872A8">
      <w:pPr>
        <w:pStyle w:val="ListBullet2"/>
      </w:pPr>
      <w:r w:rsidRPr="004872A8">
        <w:t>transurethral resection of the prostate (TURP) syndrome</w:t>
      </w:r>
    </w:p>
    <w:p w:rsidR="00000000" w:rsidRPr="004872A8" w:rsidP="004872A8">
      <w:pPr>
        <w:pStyle w:val="ListBullet2"/>
      </w:pPr>
      <w:r w:rsidRPr="004872A8">
        <w:t>application and release of tourniquet</w:t>
      </w:r>
    </w:p>
    <w:p w:rsidR="00000000" w:rsidRPr="004872A8" w:rsidP="004872A8">
      <w:pPr>
        <w:pStyle w:val="ListBullet2"/>
      </w:pPr>
      <w:r w:rsidRPr="004872A8">
        <w:t>tourniquet time</w:t>
      </w:r>
    </w:p>
    <w:p w:rsidR="00000000" w:rsidRPr="004872A8" w:rsidP="004872A8">
      <w:pPr>
        <w:pStyle w:val="ListBullet2"/>
      </w:pPr>
      <w:r w:rsidRPr="004872A8">
        <w:t>abdominal carbon dioxide insufflation</w:t>
      </w:r>
    </w:p>
    <w:p w:rsidR="00000000" w:rsidRPr="004872A8" w:rsidP="004872A8">
      <w:pPr>
        <w:pStyle w:val="ListBullet2"/>
      </w:pPr>
      <w:r w:rsidRPr="004872A8">
        <w:t xml:space="preserve">drug reaction </w:t>
      </w:r>
    </w:p>
    <w:p w:rsidR="00000000" w:rsidRPr="004872A8" w:rsidP="004872A8">
      <w:pPr>
        <w:pStyle w:val="ListBullet2"/>
      </w:pPr>
      <w:r w:rsidRPr="004872A8">
        <w:t xml:space="preserve">air embolism </w:t>
      </w:r>
    </w:p>
    <w:p w:rsidR="00000000" w:rsidRPr="004872A8" w:rsidP="004872A8">
      <w:pPr>
        <w:pStyle w:val="ListBullet2"/>
      </w:pPr>
      <w:r w:rsidRPr="004872A8">
        <w:t xml:space="preserve">fat embolism  </w:t>
      </w:r>
    </w:p>
    <w:p w:rsidR="00000000" w:rsidRPr="004872A8" w:rsidP="004872A8">
      <w:pPr>
        <w:pStyle w:val="ListBullet"/>
      </w:pPr>
      <w:r w:rsidRPr="004872A8">
        <w:t>co-existing diseases and their perioperative medical management</w:t>
      </w:r>
    </w:p>
    <w:p w:rsidR="00000000" w:rsidRPr="004872A8" w:rsidP="004872A8">
      <w:pPr>
        <w:pStyle w:val="ListBullet"/>
      </w:pPr>
      <w:r w:rsidRPr="004872A8">
        <w:t>age of the patient and associated risks</w:t>
      </w:r>
    </w:p>
    <w:p w:rsidR="00000000" w:rsidRPr="004872A8" w:rsidP="004872A8">
      <w:pPr>
        <w:pStyle w:val="ListBullet"/>
      </w:pPr>
      <w:r w:rsidRPr="004872A8">
        <w:t>types of anaesthetic techniques and preference card systems</w:t>
      </w:r>
    </w:p>
    <w:p w:rsidR="00000000" w:rsidRPr="004872A8" w:rsidP="004872A8">
      <w:pPr>
        <w:pStyle w:val="ListBullet"/>
      </w:pPr>
      <w:r w:rsidRPr="004872A8">
        <w:t>intraoperative procedures, including:</w:t>
      </w:r>
    </w:p>
    <w:p w:rsidR="00000000" w:rsidRPr="004872A8" w:rsidP="004872A8">
      <w:pPr>
        <w:pStyle w:val="ListBullet2"/>
      </w:pPr>
      <w:r w:rsidRPr="004872A8">
        <w:t>nasogastric tube placement and suctioning</w:t>
      </w:r>
    </w:p>
    <w:p w:rsidR="00000000" w:rsidRPr="004872A8" w:rsidP="004872A8">
      <w:pPr>
        <w:pStyle w:val="ListBullet2"/>
      </w:pPr>
      <w:r w:rsidRPr="004872A8">
        <w:t>endotrachea</w:t>
      </w:r>
      <w:r w:rsidRPr="004872A8">
        <w:t>l tube suctioning</w:t>
      </w:r>
    </w:p>
    <w:p w:rsidR="00000000" w:rsidRPr="004872A8" w:rsidP="004872A8">
      <w:pPr>
        <w:pStyle w:val="ListBullet2"/>
      </w:pPr>
      <w:r w:rsidRPr="004872A8">
        <w:t>tracheostomy toileting</w:t>
      </w:r>
    </w:p>
    <w:p w:rsidR="00000000" w:rsidRPr="004872A8" w:rsidP="004872A8">
      <w:pPr>
        <w:pStyle w:val="ListBullet2"/>
      </w:pPr>
      <w:r w:rsidRPr="004872A8">
        <w:t>rapid infusion, blood transfusion and massive transfusion protocol</w:t>
      </w:r>
    </w:p>
    <w:p w:rsidR="00000000" w:rsidRPr="004872A8" w:rsidP="004872A8">
      <w:pPr>
        <w:pStyle w:val="ListBullet2"/>
      </w:pPr>
      <w:r w:rsidRPr="004872A8">
        <w:t>fluid balance-urine, gastric, blood loss and infusion</w:t>
      </w:r>
    </w:p>
    <w:p w:rsidR="00000000" w:rsidRPr="004872A8" w:rsidP="004872A8">
      <w:pPr>
        <w:pStyle w:val="ListBullet2"/>
      </w:pPr>
      <w:r w:rsidRPr="004872A8">
        <w:t>invasive and non-invasive clinical measurements</w:t>
      </w:r>
    </w:p>
    <w:p w:rsidR="00000000" w:rsidRPr="004872A8" w:rsidP="004872A8">
      <w:pPr>
        <w:pStyle w:val="ListBullet2"/>
      </w:pPr>
      <w:r w:rsidRPr="004872A8">
        <w:t>airway exchange</w:t>
      </w:r>
    </w:p>
    <w:p w:rsidR="00000000" w:rsidRPr="004872A8" w:rsidP="004872A8">
      <w:pPr>
        <w:pStyle w:val="ListBullet2"/>
      </w:pPr>
      <w:r w:rsidRPr="004872A8">
        <w:t>pain management techniques</w:t>
      </w:r>
    </w:p>
    <w:p w:rsidR="00000000" w:rsidRPr="004872A8" w:rsidP="004872A8">
      <w:pPr>
        <w:pStyle w:val="ListBullet2"/>
      </w:pPr>
      <w:r w:rsidRPr="004872A8">
        <w:t>invasive and non-invasive clinical measurement planning options</w:t>
      </w:r>
    </w:p>
    <w:p w:rsidR="00000000" w:rsidRPr="004872A8" w:rsidP="004872A8">
      <w:pPr>
        <w:pStyle w:val="ListBullet2"/>
      </w:pPr>
      <w:r w:rsidRPr="004872A8">
        <w:t>airway management planning options</w:t>
      </w:r>
    </w:p>
    <w:p w:rsidR="00000000" w:rsidRPr="004872A8" w:rsidP="004872A8">
      <w:pPr>
        <w:pStyle w:val="ListBullet"/>
      </w:pPr>
      <w:r w:rsidRPr="004872A8">
        <w:t>ancillary equipment choices</w:t>
      </w:r>
    </w:p>
    <w:p w:rsidR="00000000" w:rsidRPr="004872A8" w:rsidP="004872A8">
      <w:pPr>
        <w:pStyle w:val="ListBullet"/>
      </w:pPr>
      <w:r w:rsidRPr="004872A8">
        <w:t>pressure and nerve care</w:t>
      </w:r>
    </w:p>
    <w:p w:rsidR="00000000" w:rsidRPr="004872A8" w:rsidP="004872A8">
      <w:pPr>
        <w:pStyle w:val="ListBullet"/>
      </w:pPr>
      <w:r w:rsidRPr="004872A8">
        <w:t>normal range of motion for patient</w:t>
      </w:r>
    </w:p>
    <w:p w:rsidR="00000000" w:rsidRPr="004872A8" w:rsidP="004872A8">
      <w:pPr>
        <w:pStyle w:val="ListBullet"/>
      </w:pPr>
      <w:r w:rsidRPr="004872A8">
        <w:t>thermal management</w:t>
      </w:r>
    </w:p>
    <w:p w:rsidR="00000000" w:rsidRPr="004872A8" w:rsidP="004872A8">
      <w:pPr>
        <w:pStyle w:val="ListBullet"/>
      </w:pPr>
      <w:r w:rsidRPr="004872A8">
        <w:t>prevention of thromboembolism</w:t>
      </w:r>
    </w:p>
    <w:p w:rsidR="00000000" w:rsidRPr="004872A8" w:rsidP="004872A8">
      <w:pPr>
        <w:pStyle w:val="ListBullet"/>
      </w:pPr>
      <w:r w:rsidRPr="004872A8">
        <w:t>patient emotional an</w:t>
      </w:r>
      <w:r w:rsidRPr="004872A8">
        <w:t>d physiological responses to surgery</w:t>
      </w:r>
    </w:p>
    <w:p w:rsidR="00000000" w:rsidRPr="004872A8" w:rsidP="004872A8">
      <w:pPr>
        <w:pStyle w:val="ListBullet"/>
      </w:pPr>
      <w:r w:rsidRPr="004872A8">
        <w:t>procedures for transfer of anaesthetised patient to intensive care or radiology and equipment used</w:t>
      </w:r>
    </w:p>
    <w:p w:rsidR="00000000" w:rsidRPr="004872A8" w:rsidP="004872A8">
      <w:pPr>
        <w:pStyle w:val="ListBullet"/>
      </w:pPr>
      <w:r w:rsidRPr="004872A8">
        <w:t>communication techniques within multidisciplinary team in operating theatre environment.</w:t>
      </w:r>
    </w:p>
    <w:p w:rsidR="00000000" w:rsidRPr="004872A8" w:rsidP="004872A8">
      <w:pPr>
        <w:pStyle w:val="AllowPageBreak"/>
      </w:pPr>
    </w:p>
    <w:p w:rsidR="00000000" w:rsidRPr="004872A8" w:rsidP="004872A8">
      <w:pPr>
        <w:pStyle w:val="Heading1"/>
      </w:pPr>
      <w:bookmarkStart w:id="4" w:name="O_1198998"/>
      <w:bookmarkEnd w:id="4"/>
      <w:r w:rsidRPr="004872A8">
        <w:t>Assessment C</w:t>
      </w:r>
      <w:r w:rsidRPr="004872A8">
        <w:t>onditions</w:t>
      </w:r>
    </w:p>
    <w:p w:rsidR="00000000" w:rsidRPr="004872A8" w:rsidP="00D56DD0">
      <w:pPr>
        <w:pStyle w:val="BodyText"/>
      </w:pPr>
      <w:r w:rsidRPr="004872A8">
        <w:t xml:space="preserve">Skills must be demonstrated in the workplace with the addition of simulations and scenarios where the full range of contexts and situations have not been provided in the workplace. </w:t>
      </w:r>
    </w:p>
    <w:p w:rsidR="00000000" w:rsidRPr="004872A8" w:rsidP="00D56DD0">
      <w:pPr>
        <w:pStyle w:val="BodyText"/>
      </w:pPr>
      <w:r w:rsidRPr="004872A8">
        <w:t>Assessment must ensure access to:</w:t>
      </w:r>
    </w:p>
    <w:p w:rsidR="00000000" w:rsidRPr="004872A8" w:rsidP="004872A8">
      <w:pPr>
        <w:pStyle w:val="ListBullet"/>
      </w:pPr>
      <w:r w:rsidRPr="004872A8">
        <w:t>use of suitable facilities, equipment and resources, including those required by procedures nominated in the Performance Evidence</w:t>
      </w:r>
    </w:p>
    <w:p w:rsidR="00000000" w:rsidRPr="004872A8" w:rsidP="004872A8">
      <w:pPr>
        <w:pStyle w:val="ListBullet"/>
      </w:pPr>
      <w:r w:rsidRPr="004872A8">
        <w:t>modelling of industry operating conditions, including presence of situations requiring problem solving in non-routine situatio</w:t>
      </w:r>
      <w:r w:rsidRPr="004872A8">
        <w:t>ns.</w:t>
      </w:r>
    </w:p>
    <w:p w:rsidR="00000000" w:rsidRPr="004872A8" w:rsidP="00D56DD0">
      <w:pPr>
        <w:pStyle w:val="BodyText"/>
      </w:pPr>
      <w:r w:rsidRPr="004872A8">
        <w:t>Assessors must satisfy the Standards for Registered Training Organisations’ requirements for assessors.</w:t>
      </w:r>
    </w:p>
    <w:p w:rsidR="00000000" w:rsidRPr="004872A8" w:rsidP="004872A8">
      <w:pPr>
        <w:pStyle w:val="Heading1"/>
      </w:pPr>
      <w:bookmarkStart w:id="5" w:name="O_1199001"/>
      <w:bookmarkEnd w:id="5"/>
      <w:r w:rsidRPr="004872A8">
        <w:t>Links</w:t>
      </w:r>
    </w:p>
    <w:p w:rsidR="00000000" w:rsidRPr="004872A8" w:rsidP="00D56DD0">
      <w:pPr>
        <w:pStyle w:val="BodyText"/>
      </w:pPr>
      <w:r w:rsidRPr="004872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819A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872A8" w:rsidP="004872A8"/>
    <w:sectPr w:rsidSect="00487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A8" w:rsidRPr="00D56DD0" w:rsidP="00D56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D0" w:rsidP="00487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DD0" w:rsidP="00487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6DD0" w:rsidP="00487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2A8" w:rsidRPr="00D56DD0" w:rsidP="00D56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D0" w:rsidRPr="002D2AF8" w:rsidP="00487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HLTANA013 Assist with clinical procedures used in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56DD0" w:rsidP="00487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BAE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207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04FE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2A8"/>
  </w:style>
  <w:style w:type="character" w:customStyle="1" w:styleId="Heading1Char">
    <w:name w:val="Heading 1 Char"/>
    <w:basedOn w:val="DefaultParagraphFont"/>
    <w:link w:val="Heading1"/>
    <w:rsid w:val="00487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2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2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72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7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72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7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2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2A8"/>
    <w:rPr>
      <w:b/>
      <w:spacing w:val="0"/>
    </w:rPr>
  </w:style>
  <w:style w:type="paragraph" w:customStyle="1" w:styleId="SuperTitle">
    <w:name w:val="SuperTitle"/>
    <w:basedOn w:val="Title"/>
    <w:rsid w:val="00487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2A8"/>
    <w:rPr>
      <w:i/>
    </w:rPr>
  </w:style>
  <w:style w:type="paragraph" w:styleId="Caption">
    <w:name w:val="caption"/>
    <w:basedOn w:val="BodyText"/>
    <w:next w:val="Normal"/>
    <w:qFormat/>
    <w:rsid w:val="00487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2A8"/>
  </w:style>
  <w:style w:type="paragraph" w:styleId="TableofFigures">
    <w:name w:val="table of figures"/>
    <w:basedOn w:val="Normal"/>
    <w:next w:val="Normal"/>
    <w:semiHidden/>
    <w:rsid w:val="00487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2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72A8"/>
    <w:rPr>
      <w:rFonts w:ascii="Wingdings" w:hAnsi="Wingdings"/>
    </w:rPr>
  </w:style>
  <w:style w:type="paragraph" w:customStyle="1" w:styleId="TableHeading">
    <w:name w:val="Table Heading"/>
    <w:basedOn w:val="HeadingBase"/>
    <w:rsid w:val="00487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2A8"/>
    <w:rPr>
      <w:color w:val="0033CC"/>
      <w:u w:val="none"/>
    </w:rPr>
  </w:style>
  <w:style w:type="paragraph" w:customStyle="1" w:styleId="BodyTextRight">
    <w:name w:val="Body Text Right"/>
    <w:basedOn w:val="BodyText"/>
    <w:rsid w:val="00487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2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2A8"/>
    <w:rPr>
      <w:sz w:val="32"/>
    </w:rPr>
  </w:style>
  <w:style w:type="paragraph" w:customStyle="1" w:styleId="HeadingProcedure">
    <w:name w:val="Heading Procedure"/>
    <w:basedOn w:val="HeadingBase"/>
    <w:next w:val="Normal"/>
    <w:rsid w:val="00487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2A8"/>
    <w:pPr>
      <w:spacing w:before="60" w:after="60"/>
    </w:pPr>
  </w:style>
  <w:style w:type="paragraph" w:styleId="ListContinue">
    <w:name w:val="List Continue"/>
    <w:basedOn w:val="List"/>
    <w:rsid w:val="004872A8"/>
    <w:pPr>
      <w:ind w:firstLine="0"/>
    </w:pPr>
  </w:style>
  <w:style w:type="paragraph" w:customStyle="1" w:styleId="ListNote">
    <w:name w:val="List Note"/>
    <w:basedOn w:val="List"/>
    <w:rsid w:val="00487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2A8"/>
    <w:rPr>
      <w:rFonts w:ascii="Courier New" w:hAnsi="Courier New"/>
    </w:rPr>
  </w:style>
  <w:style w:type="paragraph" w:customStyle="1" w:styleId="NoteBullet">
    <w:name w:val="Note Bullet"/>
    <w:basedOn w:val="Note"/>
    <w:rsid w:val="00487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2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7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2A8"/>
    <w:rPr>
      <w:b/>
      <w:smallCaps/>
    </w:rPr>
  </w:style>
  <w:style w:type="paragraph" w:customStyle="1" w:styleId="TableListNumber">
    <w:name w:val="Table List Number"/>
    <w:basedOn w:val="ListNumber"/>
    <w:rsid w:val="00487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2A8"/>
    <w:pPr>
      <w:numPr>
        <w:numId w:val="10"/>
      </w:numPr>
    </w:pPr>
  </w:style>
  <w:style w:type="paragraph" w:customStyle="1" w:styleId="ListAlpha2">
    <w:name w:val="List Alpha 2"/>
    <w:basedOn w:val="List2"/>
    <w:rsid w:val="004872A8"/>
    <w:pPr>
      <w:numPr>
        <w:numId w:val="9"/>
      </w:numPr>
    </w:pPr>
  </w:style>
  <w:style w:type="paragraph" w:styleId="List2">
    <w:name w:val="List 2"/>
    <w:basedOn w:val="BodyText"/>
    <w:rsid w:val="00487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2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72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72A8"/>
    <w:pPr>
      <w:numPr>
        <w:numId w:val="5"/>
      </w:numPr>
    </w:pPr>
  </w:style>
  <w:style w:type="paragraph" w:styleId="ListContinue2">
    <w:name w:val="List Continue 2"/>
    <w:basedOn w:val="List2"/>
    <w:rsid w:val="004872A8"/>
    <w:pPr>
      <w:ind w:firstLine="0"/>
    </w:pPr>
  </w:style>
  <w:style w:type="paragraph" w:styleId="ListContinue3">
    <w:name w:val="List Continue 3"/>
    <w:basedOn w:val="List3"/>
    <w:rsid w:val="004872A8"/>
    <w:pPr>
      <w:ind w:left="1021" w:firstLine="0"/>
    </w:pPr>
  </w:style>
  <w:style w:type="paragraph" w:styleId="ListContinue4">
    <w:name w:val="List Continue 4"/>
    <w:basedOn w:val="List4"/>
    <w:rsid w:val="004872A8"/>
    <w:pPr>
      <w:ind w:firstLine="0"/>
    </w:pPr>
  </w:style>
  <w:style w:type="paragraph" w:styleId="ListContinue5">
    <w:name w:val="List Continue 5"/>
    <w:basedOn w:val="List5"/>
    <w:rsid w:val="004872A8"/>
    <w:pPr>
      <w:ind w:firstLine="0"/>
    </w:pPr>
  </w:style>
  <w:style w:type="paragraph" w:styleId="ListNumber3">
    <w:name w:val="List Number 3"/>
    <w:basedOn w:val="List3"/>
    <w:rsid w:val="004872A8"/>
    <w:pPr>
      <w:numPr>
        <w:numId w:val="6"/>
      </w:numPr>
    </w:pPr>
  </w:style>
  <w:style w:type="paragraph" w:styleId="ListNumber4">
    <w:name w:val="List Number 4"/>
    <w:basedOn w:val="List4"/>
    <w:rsid w:val="004872A8"/>
    <w:pPr>
      <w:numPr>
        <w:numId w:val="7"/>
      </w:numPr>
    </w:pPr>
  </w:style>
  <w:style w:type="paragraph" w:styleId="ListNumber5">
    <w:name w:val="List Number 5"/>
    <w:basedOn w:val="List5"/>
    <w:rsid w:val="004872A8"/>
    <w:pPr>
      <w:numPr>
        <w:numId w:val="8"/>
      </w:numPr>
    </w:pPr>
  </w:style>
  <w:style w:type="paragraph" w:styleId="BlockText">
    <w:name w:val="Block Text"/>
    <w:basedOn w:val="Normal"/>
    <w:rsid w:val="00487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2A8"/>
    <w:rPr>
      <w:sz w:val="16"/>
      <w:vertAlign w:val="superscript"/>
    </w:rPr>
  </w:style>
  <w:style w:type="character" w:customStyle="1" w:styleId="Symbols">
    <w:name w:val="Symbols"/>
    <w:basedOn w:val="DefaultParagraphFont"/>
    <w:rsid w:val="004872A8"/>
    <w:rPr>
      <w:rFonts w:ascii="Symbol" w:hAnsi="Symbol"/>
    </w:rPr>
  </w:style>
  <w:style w:type="character" w:customStyle="1" w:styleId="MenuOptions">
    <w:name w:val="Menu Options"/>
    <w:basedOn w:val="DefaultParagraphFont"/>
    <w:rsid w:val="00487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2A8"/>
    <w:rPr>
      <w:b/>
    </w:rPr>
  </w:style>
  <w:style w:type="character" w:customStyle="1" w:styleId="Underlined">
    <w:name w:val="Underlined"/>
    <w:basedOn w:val="DefaultParagraphFont"/>
    <w:rsid w:val="004872A8"/>
    <w:rPr>
      <w:u w:val="single"/>
    </w:rPr>
  </w:style>
  <w:style w:type="paragraph" w:customStyle="1" w:styleId="TableBodyTextRight">
    <w:name w:val="Table Body Text Right"/>
    <w:basedOn w:val="TableBodyText"/>
    <w:rsid w:val="00487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2A8"/>
    <w:rPr>
      <w:sz w:val="18"/>
    </w:rPr>
  </w:style>
  <w:style w:type="paragraph" w:customStyle="1" w:styleId="BodySmallRight">
    <w:name w:val="Body Small Right"/>
    <w:basedOn w:val="BodyTextRight"/>
    <w:rsid w:val="004872A8"/>
    <w:rPr>
      <w:sz w:val="18"/>
      <w:szCs w:val="18"/>
    </w:rPr>
  </w:style>
  <w:style w:type="paragraph" w:customStyle="1" w:styleId="MarginEdition">
    <w:name w:val="Margin Edition"/>
    <w:basedOn w:val="MarginNote"/>
    <w:rsid w:val="00487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2A8"/>
    <w:rPr>
      <w:sz w:val="2"/>
      <w:szCs w:val="2"/>
    </w:rPr>
  </w:style>
  <w:style w:type="character" w:customStyle="1" w:styleId="Small">
    <w:name w:val="Small"/>
    <w:basedOn w:val="DefaultParagraphFont"/>
    <w:rsid w:val="004872A8"/>
    <w:rPr>
      <w:sz w:val="16"/>
    </w:rPr>
  </w:style>
  <w:style w:type="paragraph" w:customStyle="1" w:styleId="WideTable">
    <w:name w:val="Wide Table"/>
    <w:basedOn w:val="Normal"/>
    <w:rsid w:val="00487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2A8"/>
  </w:style>
  <w:style w:type="paragraph" w:styleId="Quote">
    <w:name w:val="Quote"/>
    <w:basedOn w:val="Heading1"/>
    <w:link w:val="QuoteChar"/>
    <w:qFormat/>
    <w:rsid w:val="00487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2A8"/>
    <w:pPr>
      <w:pageBreakBefore/>
    </w:pPr>
  </w:style>
  <w:style w:type="paragraph" w:customStyle="1" w:styleId="Border">
    <w:name w:val="Border"/>
    <w:basedOn w:val="Normal"/>
    <w:qFormat/>
    <w:rsid w:val="00487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2A8"/>
    <w:rPr>
      <w:u w:val="single"/>
    </w:rPr>
  </w:style>
  <w:style w:type="character" w:customStyle="1" w:styleId="BoldandItalics">
    <w:name w:val="Bold and Italics"/>
    <w:qFormat/>
    <w:rsid w:val="004872A8"/>
    <w:rPr>
      <w:b/>
      <w:i/>
      <w:u w:val="none"/>
    </w:rPr>
  </w:style>
  <w:style w:type="paragraph" w:styleId="BalloonText">
    <w:name w:val="Balloon Text"/>
    <w:basedOn w:val="Normal"/>
    <w:link w:val="BalloonTextChar"/>
    <w:rsid w:val="00487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2A8"/>
    <w:pPr>
      <w:spacing w:before="0" w:after="0"/>
    </w:pPr>
  </w:style>
  <w:style w:type="paragraph" w:customStyle="1" w:styleId="BodyTextBold">
    <w:name w:val="Body Text Bold"/>
    <w:basedOn w:val="BodyText"/>
    <w:qFormat/>
    <w:rsid w:val="004872A8"/>
    <w:rPr>
      <w:b/>
    </w:rPr>
  </w:style>
  <w:style w:type="character" w:styleId="Hyperlink">
    <w:name w:val="Hyperlink"/>
    <w:basedOn w:val="DefaultParagraphFont"/>
    <w:uiPriority w:val="99"/>
    <w:unhideWhenUsed/>
    <w:rsid w:val="00D56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6000</Characters>
  <Application>Microsoft Office Word</Application>
  <DocSecurity>0</DocSecurity>
  <Lines>176</Lines>
  <Paragraphs>159</Paragraphs>
  <ScaleCrop>false</ScaleCrop>
  <Company>Author-it Software Corporation Ltd.</Company>
  <LinksUpToDate>false</LinksUpToDate>
  <CharactersWithSpaces>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HLTANA013 Assist with clinical procedures used in anaesthesia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2023-07-02T01:36:00Z</dcterms:created>
  <dcterms:modified xsi:type="dcterms:W3CDTF">2023-07-02T01:36:00Z</dcterms:modified>
</cp:coreProperties>
</file>