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7D36" w:rsidP="00857D36">
      <w:pPr>
        <w:pStyle w:val="Title"/>
      </w:pPr>
      <w:r>
        <w:fldChar w:fldCharType="begin"/>
      </w:r>
      <w:r>
        <w:instrText xml:space="preserve"> TITLE   \* MERGEFORMAT </w:instrText>
      </w:r>
      <w:r>
        <w:fldChar w:fldCharType="separate"/>
      </w:r>
      <w:r>
        <w:t>HLTANA012 Maintain quality and supply of anaesthetic equipment and consumables</w:t>
      </w:r>
      <w:r>
        <w:fldChar w:fldCharType="end"/>
      </w:r>
    </w:p>
    <w:p w:rsidR="00857D36" w:rsidP="00857D36">
      <w:pPr>
        <w:pStyle w:val="Version"/>
        <w:sectPr w:rsidSect="00B371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71F4" w:rsidP="00B371F4">
      <w:pPr>
        <w:pStyle w:val="SuperHeading"/>
      </w:pPr>
      <w:r w:rsidRPr="00B371F4">
        <w:t>HLTANA012</w:t>
      </w:r>
      <w:r w:rsidRPr="00B371F4">
        <w:t xml:space="preserve"> Maintain quality and supply of anaesthetic equipment and consumables</w:t>
      </w:r>
    </w:p>
    <w:p w:rsidR="00000000" w:rsidRPr="00B371F4" w:rsidP="00B371F4">
      <w:pPr>
        <w:pStyle w:val="Heading1"/>
      </w:pPr>
      <w:bookmarkStart w:id="1" w:name="O_1198966"/>
      <w:bookmarkEnd w:id="1"/>
      <w:r w:rsidRPr="00B371F4">
        <w:t>Modification History</w:t>
      </w:r>
    </w:p>
    <w:p w:rsidR="00000000" w:rsidRPr="00B371F4" w:rsidP="00857D36">
      <w:pPr>
        <w:pStyle w:val="BodyText"/>
      </w:pPr>
      <w:r w:rsidRPr="00B371F4">
        <w:t>Supersedes and is not equivalent to HLTANA005 Maintain quality and supply of anaesthetic equipment and consumables.</w:t>
      </w:r>
    </w:p>
    <w:p w:rsidR="00000000" w:rsidRPr="00B371F4" w:rsidP="00B371F4">
      <w:pPr>
        <w:pStyle w:val="Heading1"/>
      </w:pPr>
      <w:bookmarkStart w:id="2" w:name="O_1198967"/>
      <w:bookmarkEnd w:id="2"/>
      <w:r w:rsidRPr="00B371F4">
        <w:t>Application</w:t>
      </w:r>
    </w:p>
    <w:p w:rsidR="00000000" w:rsidRPr="00B371F4" w:rsidP="00857D36">
      <w:pPr>
        <w:pStyle w:val="BodyText"/>
      </w:pPr>
      <w:r w:rsidRPr="00B371F4">
        <w:t>This unit describes the skills and knowledge required to check functioning of equipment, implement routine and planned equipment maintenance, and maintain the supply of anaesthetic supplies. It also covers the evaluation of new equipment.</w:t>
      </w:r>
    </w:p>
    <w:p w:rsidR="00000000" w:rsidRPr="00B371F4" w:rsidP="00857D36">
      <w:pPr>
        <w:pStyle w:val="BodyText"/>
      </w:pPr>
      <w:r w:rsidRPr="00B371F4">
        <w:t xml:space="preserve">The unit applies </w:t>
      </w:r>
      <w:r w:rsidRPr="00B371F4">
        <w:t xml:space="preserve">to anaesthetic technicians working in any hospital or day surgery setting. </w:t>
      </w:r>
    </w:p>
    <w:p w:rsidR="00000000" w:rsidRPr="00B371F4" w:rsidP="00857D36">
      <w:pPr>
        <w:pStyle w:val="BodyText"/>
      </w:pPr>
      <w:r w:rsidRPr="00B371F4">
        <w:t>The skills in this unit must be applied in accordance with Commonwealth and State or Territory legislation, Australian standards and industry codes of practice.</w:t>
      </w:r>
    </w:p>
    <w:p w:rsidR="00000000" w:rsidRPr="00B371F4" w:rsidP="00857D36">
      <w:pPr>
        <w:pStyle w:val="BodyText"/>
      </w:pPr>
      <w:r w:rsidRPr="00B371F4">
        <w:t>No occupational lic</w:t>
      </w:r>
      <w:r w:rsidRPr="00B371F4">
        <w:t>ensing, certification or specific legislative requirements apply to this unit at the time of publication.</w:t>
      </w:r>
    </w:p>
    <w:p w:rsidR="00000000" w:rsidRPr="00B371F4" w:rsidP="00B371F4">
      <w:pPr>
        <w:pStyle w:val="Heading1"/>
      </w:pPr>
      <w:bookmarkStart w:id="3" w:name="O_1198968"/>
      <w:bookmarkEnd w:id="3"/>
      <w:r w:rsidRPr="00B371F4">
        <w:t>Pre-requisite Unit</w:t>
      </w:r>
    </w:p>
    <w:p w:rsidR="00000000" w:rsidRPr="00B371F4" w:rsidP="00857D36">
      <w:pPr>
        <w:pStyle w:val="BodyText"/>
      </w:pPr>
      <w:r w:rsidRPr="00B371F4">
        <w:t xml:space="preserve">Nil </w:t>
      </w:r>
    </w:p>
    <w:p w:rsidR="00000000" w:rsidRPr="00B371F4" w:rsidP="00B371F4">
      <w:pPr>
        <w:pStyle w:val="Heading1"/>
      </w:pPr>
      <w:bookmarkStart w:id="4" w:name="O_1198969"/>
      <w:bookmarkEnd w:id="4"/>
      <w:r w:rsidRPr="00B371F4">
        <w:t>Competency Field</w:t>
      </w:r>
    </w:p>
    <w:p w:rsidR="00000000" w:rsidRPr="00B371F4" w:rsidP="00857D36">
      <w:pPr>
        <w:pStyle w:val="BodyText"/>
      </w:pPr>
      <w:r w:rsidRPr="00B371F4">
        <w:t>Anaesthetic Technology</w:t>
      </w:r>
    </w:p>
    <w:p w:rsidR="00000000" w:rsidRPr="00B371F4" w:rsidP="00B371F4">
      <w:pPr>
        <w:pStyle w:val="Heading1"/>
      </w:pPr>
      <w:bookmarkStart w:id="5" w:name="O_1198970"/>
      <w:bookmarkEnd w:id="5"/>
      <w:r w:rsidRPr="00B371F4">
        <w:t>Unit Sector</w:t>
      </w:r>
    </w:p>
    <w:p w:rsidR="00000000" w:rsidRPr="00B371F4" w:rsidP="00857D36">
      <w:pPr>
        <w:pStyle w:val="BodyText"/>
      </w:pPr>
      <w:r w:rsidRPr="00B371F4">
        <w:t>Health</w:t>
      </w:r>
    </w:p>
    <w:p w:rsidR="00000000" w:rsidRPr="00B371F4" w:rsidP="00B371F4">
      <w:pPr>
        <w:pStyle w:val="Heading1"/>
      </w:pPr>
      <w:bookmarkStart w:id="6" w:name="O_1198971"/>
      <w:bookmarkEnd w:id="6"/>
      <w:r w:rsidRPr="00B371F4">
        <w:t>Elements and Performance Criteria</w:t>
      </w:r>
    </w:p>
    <w:tbl>
      <w:tblPr>
        <w:tblW w:w="0" w:type="auto"/>
        <w:tblLayout w:type="fixed"/>
        <w:tblCellMar>
          <w:left w:w="62" w:type="dxa"/>
          <w:right w:w="62" w:type="dxa"/>
        </w:tblCellMar>
        <w:tblLook w:val="0000"/>
      </w:tblPr>
      <w:tblGrid>
        <w:gridCol w:w="2694"/>
        <w:gridCol w:w="6350"/>
      </w:tblGrid>
      <w:tr w:rsidTr="00B371F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371F4" w:rsidP="00B371F4">
            <w:pPr>
              <w:pStyle w:val="BodyText"/>
            </w:pPr>
            <w:r w:rsidRPr="00B371F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371F4">
            <w:pPr>
              <w:pStyle w:val="BodyText"/>
              <w:rPr>
                <w:lang w:val="en-NZ"/>
              </w:rPr>
            </w:pPr>
            <w:r w:rsidRPr="00B371F4">
              <w:rPr>
                <w:rStyle w:val="SpecialBold"/>
              </w:rPr>
              <w:t>PERFORMANCE</w:t>
            </w:r>
            <w:r w:rsidRPr="00B371F4">
              <w:t xml:space="preserve"> </w:t>
            </w:r>
            <w:r w:rsidRPr="00B371F4">
              <w:rPr>
                <w:rStyle w:val="SpecialBold"/>
              </w:rPr>
              <w:t>CRITERIA</w:t>
            </w:r>
          </w:p>
        </w:tc>
      </w:tr>
      <w:tr w:rsidTr="00B371F4">
        <w:tblPrEx>
          <w:tblW w:w="0" w:type="auto"/>
          <w:tblLayout w:type="fixed"/>
          <w:tblCellMar>
            <w:left w:w="62" w:type="dxa"/>
            <w:right w:w="62" w:type="dxa"/>
          </w:tblCellMar>
          <w:tblLook w:val="0000"/>
        </w:tblPrEx>
        <w:trPr>
          <w:trHeight w:val="917"/>
        </w:trPr>
        <w:tc>
          <w:tcPr>
            <w:tcW w:w="2694" w:type="dxa"/>
            <w:tcBorders>
              <w:top w:val="nil"/>
              <w:left w:val="nil"/>
              <w:bottom w:val="nil"/>
              <w:right w:val="nil"/>
            </w:tcBorders>
            <w:tcMar>
              <w:top w:w="0" w:type="dxa"/>
              <w:left w:w="62" w:type="dxa"/>
              <w:bottom w:w="0" w:type="dxa"/>
              <w:right w:w="62" w:type="dxa"/>
            </w:tcMar>
          </w:tcPr>
          <w:p w:rsidR="00000000" w:rsidRPr="00B371F4" w:rsidP="00B371F4">
            <w:pPr>
              <w:pStyle w:val="BodyText"/>
            </w:pPr>
            <w:r w:rsidRPr="00B371F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371F4">
            <w:pPr>
              <w:pStyle w:val="BodyText"/>
              <w:rPr>
                <w:lang w:val="en-NZ"/>
              </w:rPr>
            </w:pPr>
            <w:r w:rsidRPr="00B371F4">
              <w:rPr>
                <w:rStyle w:val="Emphasis"/>
              </w:rPr>
              <w:t>Performance criteria describe the performance needed to demonstrate achievement of the element.</w:t>
            </w:r>
          </w:p>
        </w:tc>
      </w:tr>
      <w:tr w:rsidTr="00B371F4">
        <w:tblPrEx>
          <w:tblW w:w="0" w:type="auto"/>
          <w:tblLayout w:type="fixed"/>
          <w:tblCellMar>
            <w:left w:w="62" w:type="dxa"/>
            <w:right w:w="62" w:type="dxa"/>
          </w:tblCellMar>
          <w:tblLook w:val="0000"/>
        </w:tblPrEx>
        <w:trPr>
          <w:trHeight w:val="4384"/>
        </w:trPr>
        <w:tc>
          <w:tcPr>
            <w:tcW w:w="2694" w:type="dxa"/>
            <w:tcBorders>
              <w:top w:val="nil"/>
              <w:left w:val="nil"/>
              <w:bottom w:val="nil"/>
              <w:right w:val="nil"/>
            </w:tcBorders>
            <w:tcMar>
              <w:top w:w="0" w:type="dxa"/>
              <w:left w:w="62" w:type="dxa"/>
              <w:bottom w:w="0" w:type="dxa"/>
              <w:right w:w="62" w:type="dxa"/>
            </w:tcMar>
          </w:tcPr>
          <w:p w:rsidR="00000000" w:rsidP="00B371F4">
            <w:pPr>
              <w:pStyle w:val="List"/>
              <w:rPr>
                <w:lang w:val="en-NZ"/>
              </w:rPr>
            </w:pPr>
            <w:r w:rsidRPr="00B371F4">
              <w:t>1.  Check functioning and conduct routine maintenance.</w:t>
            </w:r>
          </w:p>
        </w:tc>
        <w:tc>
          <w:tcPr>
            <w:tcW w:w="6350" w:type="dxa"/>
            <w:tcBorders>
              <w:top w:val="nil"/>
              <w:left w:val="nil"/>
              <w:bottom w:val="nil"/>
              <w:right w:val="nil"/>
            </w:tcBorders>
            <w:tcMar>
              <w:top w:w="0" w:type="dxa"/>
              <w:left w:w="62" w:type="dxa"/>
              <w:bottom w:w="0" w:type="dxa"/>
              <w:right w:w="62" w:type="dxa"/>
            </w:tcMar>
          </w:tcPr>
          <w:p w:rsidR="00000000" w:rsidRPr="00B371F4" w:rsidP="00B371F4">
            <w:pPr>
              <w:pStyle w:val="List"/>
            </w:pPr>
            <w:r w:rsidRPr="00B371F4">
              <w:t xml:space="preserve">1.1. Check availability of minimum equipment requirements as per Australia New Zealand College of Anaesthetists (ANZCA) policy guidelines. </w:t>
            </w:r>
          </w:p>
          <w:p w:rsidR="00000000" w:rsidRPr="00B371F4" w:rsidP="00B371F4">
            <w:pPr>
              <w:pStyle w:val="List"/>
            </w:pPr>
            <w:r w:rsidRPr="00B371F4">
              <w:t xml:space="preserve">1.2. Perform safety checks. </w:t>
            </w:r>
          </w:p>
          <w:p w:rsidR="00000000" w:rsidRPr="00B371F4" w:rsidP="00B371F4">
            <w:pPr>
              <w:pStyle w:val="List"/>
            </w:pPr>
            <w:r w:rsidRPr="00B371F4">
              <w:t>1.3. Ensure anaesthetic equipmen</w:t>
            </w:r>
            <w:r w:rsidRPr="00B371F4">
              <w:t>t is functioning correctly and rectify any routine problems.</w:t>
            </w:r>
          </w:p>
          <w:p w:rsidR="00000000" w:rsidRPr="00B371F4" w:rsidP="00B371F4">
            <w:pPr>
              <w:pStyle w:val="List"/>
            </w:pPr>
            <w:r w:rsidRPr="00B371F4">
              <w:t>1.4. Clean and safely store equipment.</w:t>
            </w:r>
          </w:p>
          <w:p w:rsidR="00000000" w:rsidRPr="00B371F4" w:rsidP="00B371F4">
            <w:pPr>
              <w:pStyle w:val="List"/>
            </w:pPr>
            <w:r w:rsidRPr="00B371F4">
              <w:t>1.5. Report hazardous, damaged or faulty equipment and arrange repairs.</w:t>
            </w:r>
          </w:p>
          <w:p w:rsidR="00000000" w:rsidRPr="00B371F4" w:rsidP="00B371F4">
            <w:pPr>
              <w:pStyle w:val="List"/>
            </w:pPr>
            <w:r w:rsidRPr="00B371F4">
              <w:t>1.6. Disassemble and decontaminate anaesthetic equipment.</w:t>
            </w:r>
          </w:p>
          <w:p w:rsidR="00000000" w:rsidP="00B371F4">
            <w:pPr>
              <w:pStyle w:val="List"/>
              <w:rPr>
                <w:lang w:val="en-NZ"/>
              </w:rPr>
            </w:pPr>
            <w:r w:rsidRPr="00B371F4">
              <w:t>1.7. Dispose of disposable</w:t>
            </w:r>
            <w:r w:rsidRPr="00B371F4">
              <w:t xml:space="preserve"> or single use items in accordance with organisational policies and procedures.</w:t>
            </w:r>
          </w:p>
        </w:tc>
      </w:tr>
      <w:tr w:rsidTr="00B371F4">
        <w:tblPrEx>
          <w:tblW w:w="0" w:type="auto"/>
          <w:tblLayout w:type="fixed"/>
          <w:tblCellMar>
            <w:left w:w="62" w:type="dxa"/>
            <w:right w:w="62" w:type="dxa"/>
          </w:tblCellMar>
          <w:tblLook w:val="0000"/>
        </w:tblPrEx>
        <w:trPr>
          <w:trHeight w:val="3980"/>
        </w:trPr>
        <w:tc>
          <w:tcPr>
            <w:tcW w:w="2694" w:type="dxa"/>
            <w:tcBorders>
              <w:top w:val="nil"/>
              <w:left w:val="nil"/>
              <w:bottom w:val="nil"/>
              <w:right w:val="nil"/>
            </w:tcBorders>
            <w:tcMar>
              <w:top w:w="0" w:type="dxa"/>
              <w:left w:w="62" w:type="dxa"/>
              <w:bottom w:w="0" w:type="dxa"/>
              <w:right w:w="62" w:type="dxa"/>
            </w:tcMar>
          </w:tcPr>
          <w:p w:rsidR="00000000" w:rsidP="00B371F4">
            <w:pPr>
              <w:pStyle w:val="List"/>
              <w:rPr>
                <w:lang w:val="en-NZ"/>
              </w:rPr>
            </w:pPr>
            <w:r w:rsidRPr="00B371F4">
              <w:t>2.  Maintain adequate stock levels of anaesthetic consumable items.</w:t>
            </w:r>
          </w:p>
        </w:tc>
        <w:tc>
          <w:tcPr>
            <w:tcW w:w="6350" w:type="dxa"/>
            <w:tcBorders>
              <w:top w:val="nil"/>
              <w:left w:val="nil"/>
              <w:bottom w:val="nil"/>
              <w:right w:val="nil"/>
            </w:tcBorders>
            <w:tcMar>
              <w:top w:w="0" w:type="dxa"/>
              <w:left w:w="62" w:type="dxa"/>
              <w:bottom w:w="0" w:type="dxa"/>
              <w:right w:w="62" w:type="dxa"/>
            </w:tcMar>
          </w:tcPr>
          <w:p w:rsidR="00000000" w:rsidRPr="00B371F4" w:rsidP="00B371F4">
            <w:pPr>
              <w:pStyle w:val="List"/>
            </w:pPr>
            <w:r w:rsidRPr="00B371F4">
              <w:t xml:space="preserve">2.1. Access and interpret stock documentation, store and rotate stock, check stock levels and take action to maintain supply. </w:t>
            </w:r>
          </w:p>
          <w:p w:rsidR="00000000" w:rsidRPr="00B371F4" w:rsidP="00B371F4">
            <w:pPr>
              <w:pStyle w:val="List"/>
            </w:pPr>
            <w:r w:rsidRPr="00B371F4">
              <w:t>2.2. Communicate unavailability of stock to relevant personnel.</w:t>
            </w:r>
          </w:p>
          <w:p w:rsidR="00000000" w:rsidRPr="00B371F4" w:rsidP="00B371F4">
            <w:pPr>
              <w:pStyle w:val="List"/>
            </w:pPr>
            <w:r w:rsidRPr="00B371F4">
              <w:t>2.3. Identify when to withdraw and dispose of stock in compliance</w:t>
            </w:r>
            <w:r w:rsidRPr="00B371F4">
              <w:t xml:space="preserve"> with health hazard notices and environmental protection authority.</w:t>
            </w:r>
          </w:p>
          <w:p w:rsidR="00000000" w:rsidRPr="00B371F4" w:rsidP="00B371F4">
            <w:pPr>
              <w:pStyle w:val="List"/>
            </w:pPr>
            <w:r w:rsidRPr="00B371F4">
              <w:t>2.4. Dispose of expired stock safely in accordance with legislative requirements and organisational policies and procedures.</w:t>
            </w:r>
          </w:p>
          <w:p w:rsidR="00000000" w:rsidRPr="00B371F4" w:rsidP="00B371F4">
            <w:pPr>
              <w:pStyle w:val="List"/>
            </w:pPr>
            <w:r w:rsidRPr="00B371F4">
              <w:t>2.5. Ensure product disclosure information, technical data shee</w:t>
            </w:r>
            <w:r w:rsidRPr="00B371F4">
              <w:t>ts and material safety data sheets are available and referenced as required.</w:t>
            </w:r>
          </w:p>
          <w:p w:rsidR="00000000" w:rsidP="00B371F4">
            <w:pPr>
              <w:pStyle w:val="List"/>
              <w:rPr>
                <w:lang w:val="en-NZ"/>
              </w:rPr>
            </w:pPr>
            <w:r w:rsidRPr="00B371F4">
              <w:t>2.6. Identify suitable alternative product(s) and access if required.</w:t>
            </w:r>
          </w:p>
        </w:tc>
      </w:tr>
      <w:tr w:rsidTr="00B371F4">
        <w:tblPrEx>
          <w:tblW w:w="0" w:type="auto"/>
          <w:tblLayout w:type="fixed"/>
          <w:tblCellMar>
            <w:left w:w="62" w:type="dxa"/>
            <w:right w:w="62" w:type="dxa"/>
          </w:tblCellMar>
          <w:tblLook w:val="0000"/>
        </w:tblPrEx>
        <w:trPr>
          <w:trHeight w:val="3081"/>
        </w:trPr>
        <w:tc>
          <w:tcPr>
            <w:tcW w:w="2694" w:type="dxa"/>
            <w:tcBorders>
              <w:top w:val="nil"/>
              <w:left w:val="nil"/>
              <w:bottom w:val="nil"/>
              <w:right w:val="nil"/>
            </w:tcBorders>
            <w:tcMar>
              <w:top w:w="0" w:type="dxa"/>
              <w:left w:w="62" w:type="dxa"/>
              <w:bottom w:w="0" w:type="dxa"/>
              <w:right w:w="62" w:type="dxa"/>
            </w:tcMar>
          </w:tcPr>
          <w:p w:rsidR="00000000" w:rsidRPr="00B371F4" w:rsidP="00B371F4">
            <w:pPr>
              <w:pStyle w:val="List"/>
            </w:pPr>
            <w:r w:rsidRPr="00B371F4">
              <w:t>3.  Implement planned maintenance.</w:t>
            </w:r>
          </w:p>
          <w:p w:rsidR="00000000" w:rsidRPr="00B371F4" w:rsidP="00B371F4">
            <w:pPr>
              <w:pStyle w:val="BodyText"/>
            </w:pPr>
          </w:p>
          <w:p w:rsidR="00000000" w:rsidP="00B371F4">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B371F4" w:rsidP="00B371F4">
            <w:pPr>
              <w:pStyle w:val="List"/>
            </w:pPr>
            <w:r w:rsidRPr="00B371F4">
              <w:t xml:space="preserve">3.1. Identify maintenance procedures and appropriate documentation. </w:t>
            </w:r>
          </w:p>
          <w:p w:rsidR="00000000" w:rsidRPr="00B371F4" w:rsidP="00B371F4">
            <w:pPr>
              <w:pStyle w:val="List"/>
            </w:pPr>
            <w:r w:rsidRPr="00B371F4">
              <w:t>3.</w:t>
            </w:r>
            <w:r w:rsidRPr="00B371F4">
              <w:t xml:space="preserve">2. Maintain anaesthetic and monitoring equipment in accordance with manufacturers’ guidelines. </w:t>
            </w:r>
          </w:p>
          <w:p w:rsidR="00000000" w:rsidRPr="00B371F4" w:rsidP="00B371F4">
            <w:pPr>
              <w:pStyle w:val="List"/>
            </w:pPr>
            <w:r w:rsidRPr="00B371F4">
              <w:t>3.3. Complete regular servicing in accordance with scope of own role.</w:t>
            </w:r>
          </w:p>
          <w:p w:rsidR="00000000" w:rsidRPr="00B371F4" w:rsidP="00B371F4">
            <w:pPr>
              <w:pStyle w:val="List"/>
            </w:pPr>
            <w:r w:rsidRPr="00B371F4">
              <w:t>3.4. Complete accurate maintenance documentation and escalate to relevant personnel any is</w:t>
            </w:r>
            <w:r w:rsidRPr="00B371F4">
              <w:t>sue.</w:t>
            </w:r>
          </w:p>
          <w:p w:rsidR="00000000" w:rsidP="00B371F4">
            <w:pPr>
              <w:pStyle w:val="List"/>
              <w:rPr>
                <w:lang w:val="en-NZ"/>
              </w:rPr>
            </w:pPr>
            <w:r w:rsidRPr="00B371F4">
              <w:t>3.5. Review maintenance records and update.</w:t>
            </w:r>
          </w:p>
        </w:tc>
      </w:tr>
      <w:tr w:rsidTr="00B371F4">
        <w:tblPrEx>
          <w:tblW w:w="0" w:type="auto"/>
          <w:tblLayout w:type="fixed"/>
          <w:tblCellMar>
            <w:left w:w="62" w:type="dxa"/>
            <w:right w:w="62" w:type="dxa"/>
          </w:tblCellMar>
          <w:tblLook w:val="0000"/>
        </w:tblPrEx>
        <w:trPr>
          <w:trHeight w:val="2160"/>
        </w:trPr>
        <w:tc>
          <w:tcPr>
            <w:tcW w:w="2694" w:type="dxa"/>
            <w:tcBorders>
              <w:top w:val="nil"/>
              <w:left w:val="nil"/>
              <w:bottom w:val="nil"/>
              <w:right w:val="nil"/>
            </w:tcBorders>
            <w:tcMar>
              <w:top w:w="0" w:type="dxa"/>
              <w:left w:w="62" w:type="dxa"/>
              <w:bottom w:w="0" w:type="dxa"/>
              <w:right w:w="62" w:type="dxa"/>
            </w:tcMar>
          </w:tcPr>
          <w:p w:rsidR="00000000" w:rsidP="00B371F4">
            <w:pPr>
              <w:pStyle w:val="List"/>
              <w:rPr>
                <w:lang w:val="en-NZ"/>
              </w:rPr>
            </w:pPr>
            <w:r w:rsidRPr="00B371F4">
              <w:t>4.  Arrange repairs of anaesthetic equipment.</w:t>
            </w:r>
          </w:p>
        </w:tc>
        <w:tc>
          <w:tcPr>
            <w:tcW w:w="6350" w:type="dxa"/>
            <w:tcBorders>
              <w:top w:val="nil"/>
              <w:left w:val="nil"/>
              <w:bottom w:val="nil"/>
              <w:right w:val="nil"/>
            </w:tcBorders>
            <w:tcMar>
              <w:top w:w="0" w:type="dxa"/>
              <w:left w:w="62" w:type="dxa"/>
              <w:bottom w:w="0" w:type="dxa"/>
              <w:right w:w="62" w:type="dxa"/>
            </w:tcMar>
          </w:tcPr>
          <w:p w:rsidR="00000000" w:rsidRPr="00B371F4" w:rsidP="00B371F4">
            <w:pPr>
              <w:pStyle w:val="List"/>
            </w:pPr>
            <w:r w:rsidRPr="00B371F4">
              <w:t xml:space="preserve">4.1. Identify anaesthetic equipment faults and place safety hazard label on anaesthetic equipment. </w:t>
            </w:r>
          </w:p>
          <w:p w:rsidR="00000000" w:rsidRPr="00B371F4" w:rsidP="00B371F4">
            <w:pPr>
              <w:pStyle w:val="List"/>
            </w:pPr>
            <w:r w:rsidRPr="00B371F4">
              <w:t xml:space="preserve">4.2. Complete repair request documentation and give to relevant personnel for actioning. </w:t>
            </w:r>
          </w:p>
          <w:p w:rsidR="00000000" w:rsidP="00B371F4">
            <w:pPr>
              <w:pStyle w:val="List"/>
              <w:rPr>
                <w:lang w:val="en-NZ"/>
              </w:rPr>
            </w:pPr>
            <w:r w:rsidRPr="00B371F4">
              <w:t>4.3. Complete routine and minor anaesthetic equipment repairs.</w:t>
            </w:r>
          </w:p>
        </w:tc>
      </w:tr>
      <w:tr w:rsidTr="00B371F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371F4">
            <w:pPr>
              <w:pStyle w:val="List"/>
              <w:rPr>
                <w:lang w:val="en-NZ"/>
              </w:rPr>
            </w:pPr>
            <w:r w:rsidRPr="00B371F4">
              <w:t>5.  Orientate staff to anaesthetic and monitoring equipment.</w:t>
            </w:r>
          </w:p>
        </w:tc>
        <w:tc>
          <w:tcPr>
            <w:tcW w:w="6350" w:type="dxa"/>
            <w:tcBorders>
              <w:top w:val="nil"/>
              <w:left w:val="nil"/>
              <w:bottom w:val="nil"/>
              <w:right w:val="nil"/>
            </w:tcBorders>
            <w:tcMar>
              <w:top w:w="0" w:type="dxa"/>
              <w:left w:w="62" w:type="dxa"/>
              <w:bottom w:w="0" w:type="dxa"/>
              <w:right w:w="62" w:type="dxa"/>
            </w:tcMar>
          </w:tcPr>
          <w:p w:rsidR="00000000" w:rsidRPr="00B371F4" w:rsidP="00B371F4">
            <w:pPr>
              <w:pStyle w:val="List"/>
            </w:pPr>
            <w:r w:rsidRPr="00B371F4">
              <w:t>5.1. Provide instruction on anaesthetic e</w:t>
            </w:r>
            <w:r w:rsidRPr="00B371F4">
              <w:t>quipment to other members of the multidisciplinary team.</w:t>
            </w:r>
          </w:p>
          <w:p w:rsidR="00000000" w:rsidRPr="00B371F4" w:rsidP="00B371F4">
            <w:pPr>
              <w:pStyle w:val="List"/>
            </w:pPr>
            <w:r w:rsidRPr="00B371F4">
              <w:t>5.2. Provide in-service training on anaesthetic equipment to other members of the multidisciplinary team.</w:t>
            </w:r>
          </w:p>
        </w:tc>
      </w:tr>
    </w:tbl>
    <w:p w:rsidR="00000000" w:rsidRPr="00B371F4" w:rsidP="00B371F4">
      <w:pPr>
        <w:pStyle w:val="BodyText"/>
      </w:pPr>
    </w:p>
    <w:p w:rsidR="00000000" w:rsidRPr="00B371F4" w:rsidP="00B371F4">
      <w:pPr>
        <w:pStyle w:val="AllowPageBreak"/>
      </w:pPr>
    </w:p>
    <w:p w:rsidR="00000000" w:rsidRPr="00B371F4" w:rsidP="00B371F4">
      <w:pPr>
        <w:pStyle w:val="Heading1"/>
      </w:pPr>
      <w:bookmarkStart w:id="7" w:name="O_1198972"/>
      <w:bookmarkEnd w:id="7"/>
      <w:r w:rsidRPr="00B371F4">
        <w:t>Foundation Skills</w:t>
      </w:r>
    </w:p>
    <w:p w:rsidR="00000000" w:rsidRPr="00B371F4" w:rsidP="00857D36">
      <w:pPr>
        <w:pStyle w:val="BodyText"/>
      </w:pPr>
      <w:r w:rsidRPr="00B371F4">
        <w:t>Foundation skills essential to performance are explicit in the performance criteria of this unit of competency.</w:t>
      </w:r>
    </w:p>
    <w:p w:rsidR="00000000" w:rsidRPr="00B371F4" w:rsidP="00B371F4">
      <w:pPr>
        <w:pStyle w:val="Heading1"/>
      </w:pPr>
      <w:bookmarkStart w:id="8" w:name="O_1198974"/>
      <w:bookmarkEnd w:id="8"/>
      <w:r w:rsidRPr="00B371F4">
        <w:t>Unit Mapping Information</w:t>
      </w:r>
    </w:p>
    <w:p w:rsidR="00000000" w:rsidRPr="00B371F4" w:rsidP="00857D36">
      <w:pPr>
        <w:pStyle w:val="BodyText"/>
      </w:pPr>
      <w:r w:rsidRPr="00B371F4">
        <w:t>Supersedes and is not equivalent to HLTANA005 Maintain quality and supply of anaesthetic equipment a</w:t>
      </w:r>
      <w:r w:rsidRPr="00B371F4">
        <w:t>nd consumables.</w:t>
      </w:r>
    </w:p>
    <w:p w:rsidR="00000000" w:rsidRPr="00B371F4" w:rsidP="00B371F4">
      <w:pPr>
        <w:pStyle w:val="Heading1"/>
      </w:pPr>
      <w:bookmarkStart w:id="9" w:name="O_1198981"/>
      <w:bookmarkEnd w:id="9"/>
      <w:r w:rsidRPr="00B371F4">
        <w:t>Links</w:t>
      </w:r>
    </w:p>
    <w:p w:rsidR="00000000" w:rsidRPr="00B371F4" w:rsidP="00857D36">
      <w:pPr>
        <w:pStyle w:val="BodyText"/>
      </w:pPr>
      <w:r w:rsidRPr="00B371F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01F47">
        <w:rPr>
          <w:rStyle w:val="Hyperlink"/>
        </w:rPr>
        <w:t>https://vetnet.gov.au/Pages/TrainingDocs.aspx?q=ced1390f-48d9-4ab0-bd50-b015e5485705</w:t>
      </w:r>
      <w:r>
        <w:fldChar w:fldCharType="end"/>
      </w:r>
    </w:p>
    <w:p w:rsidR="00000000" w:rsidRPr="00B371F4" w:rsidP="00B371F4"/>
    <w:sectPr w:rsidSect="00B371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1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1F4" w:rsidRPr="00857D36" w:rsidP="00857D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1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D36" w:rsidP="00B371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7D36" w:rsidP="00B371F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857D36" w:rsidP="00B371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1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D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71F4" w:rsidRPr="00857D36" w:rsidP="00857D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1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D36" w:rsidRPr="002D2AF8" w:rsidP="00B371F4">
    <w:pPr>
      <w:pStyle w:val="Header"/>
      <w:framePr w:wrap="around"/>
    </w:pPr>
    <w:r>
      <w:fldChar w:fldCharType="begin"/>
    </w:r>
    <w:r>
      <w:instrText xml:space="preserve"> TITLE   \* MERGEFORMAT </w:instrText>
    </w:r>
    <w:r>
      <w:fldChar w:fldCharType="separate"/>
    </w:r>
    <w:r>
      <w:t>HLTANA012 Maintain quality and supply of anaesthetic equipment and consumables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857D36" w:rsidP="00B371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1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71F4"/>
    <w:pPr>
      <w:spacing w:before="360" w:after="60"/>
      <w:outlineLvl w:val="0"/>
    </w:pPr>
    <w:rPr>
      <w:sz w:val="32"/>
    </w:rPr>
  </w:style>
  <w:style w:type="paragraph" w:styleId="Heading2">
    <w:name w:val="heading 2"/>
    <w:basedOn w:val="HeadingBase"/>
    <w:next w:val="BodyText"/>
    <w:link w:val="Heading2Char"/>
    <w:qFormat/>
    <w:rsid w:val="00B371F4"/>
    <w:pPr>
      <w:keepLines/>
      <w:spacing w:before="240" w:after="120"/>
      <w:outlineLvl w:val="1"/>
    </w:pPr>
    <w:rPr>
      <w:sz w:val="28"/>
      <w:szCs w:val="40"/>
    </w:rPr>
  </w:style>
  <w:style w:type="paragraph" w:styleId="Heading3">
    <w:name w:val="heading 3"/>
    <w:basedOn w:val="HeadingBase"/>
    <w:next w:val="BodyText"/>
    <w:link w:val="Heading3Char"/>
    <w:qFormat/>
    <w:rsid w:val="00B371F4"/>
    <w:pPr>
      <w:spacing w:before="180" w:after="120"/>
      <w:outlineLvl w:val="2"/>
    </w:pPr>
    <w:rPr>
      <w:spacing w:val="-10"/>
      <w:kern w:val="32"/>
    </w:rPr>
  </w:style>
  <w:style w:type="paragraph" w:styleId="Heading4">
    <w:name w:val="heading 4"/>
    <w:basedOn w:val="HeadingBase"/>
    <w:next w:val="BodyText"/>
    <w:link w:val="Heading4Char"/>
    <w:qFormat/>
    <w:rsid w:val="00B371F4"/>
    <w:pPr>
      <w:spacing w:before="160" w:after="120"/>
      <w:outlineLvl w:val="3"/>
    </w:pPr>
    <w:rPr>
      <w:sz w:val="22"/>
    </w:rPr>
  </w:style>
  <w:style w:type="paragraph" w:styleId="Heading5">
    <w:name w:val="heading 5"/>
    <w:basedOn w:val="HeadingBase"/>
    <w:next w:val="Normal"/>
    <w:link w:val="Heading5Char"/>
    <w:qFormat/>
    <w:rsid w:val="00B371F4"/>
    <w:pPr>
      <w:spacing w:before="80"/>
      <w:outlineLvl w:val="4"/>
    </w:pPr>
    <w:rPr>
      <w:color w:val="918585"/>
      <w:sz w:val="20"/>
    </w:rPr>
  </w:style>
  <w:style w:type="paragraph" w:styleId="Heading6">
    <w:name w:val="heading 6"/>
    <w:basedOn w:val="HeadingBase"/>
    <w:next w:val="Normal"/>
    <w:link w:val="Heading6Char"/>
    <w:qFormat/>
    <w:rsid w:val="00B371F4"/>
    <w:pPr>
      <w:spacing w:before="60"/>
      <w:outlineLvl w:val="5"/>
    </w:pPr>
    <w:rPr>
      <w:color w:val="918585"/>
      <w:sz w:val="20"/>
    </w:rPr>
  </w:style>
  <w:style w:type="paragraph" w:styleId="Heading7">
    <w:name w:val="heading 7"/>
    <w:basedOn w:val="Normal"/>
    <w:next w:val="Normal"/>
    <w:link w:val="Heading7Char"/>
    <w:qFormat/>
    <w:rsid w:val="00B371F4"/>
    <w:pPr>
      <w:ind w:left="720"/>
      <w:outlineLvl w:val="6"/>
    </w:pPr>
    <w:rPr>
      <w:i/>
    </w:rPr>
  </w:style>
  <w:style w:type="paragraph" w:styleId="Heading8">
    <w:name w:val="heading 8"/>
    <w:basedOn w:val="Normal"/>
    <w:next w:val="Normal"/>
    <w:link w:val="Heading8Char"/>
    <w:qFormat/>
    <w:rsid w:val="00B371F4"/>
    <w:pPr>
      <w:ind w:left="720"/>
      <w:outlineLvl w:val="7"/>
    </w:pPr>
    <w:rPr>
      <w:i/>
    </w:rPr>
  </w:style>
  <w:style w:type="paragraph" w:styleId="Heading9">
    <w:name w:val="heading 9"/>
    <w:basedOn w:val="Normal"/>
    <w:next w:val="Normal"/>
    <w:link w:val="Heading9Char"/>
    <w:qFormat/>
    <w:rsid w:val="00B371F4"/>
    <w:pPr>
      <w:ind w:left="720"/>
      <w:outlineLvl w:val="8"/>
    </w:pPr>
    <w:rPr>
      <w:i/>
    </w:rPr>
  </w:style>
  <w:style w:type="character" w:default="1" w:styleId="DefaultParagraphFont">
    <w:name w:val="Default Paragraph Font"/>
    <w:uiPriority w:val="1"/>
    <w:unhideWhenUsed/>
    <w:rsid w:val="00B371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71F4"/>
  </w:style>
  <w:style w:type="character" w:customStyle="1" w:styleId="Heading1Char">
    <w:name w:val="Heading 1 Char"/>
    <w:basedOn w:val="DefaultParagraphFont"/>
    <w:link w:val="Heading1"/>
    <w:rsid w:val="00B371F4"/>
    <w:rPr>
      <w:rFonts w:ascii="Times New Roman" w:eastAsia="Times New Roman" w:hAnsi="Times New Roman" w:cs="Times New Roman"/>
      <w:b/>
      <w:sz w:val="32"/>
      <w:szCs w:val="20"/>
      <w:lang w:eastAsia="en-US"/>
    </w:rPr>
  </w:style>
  <w:style w:type="paragraph" w:styleId="BodyText">
    <w:name w:val="Body Text"/>
    <w:basedOn w:val="Normal"/>
    <w:link w:val="BodyTextChar"/>
    <w:rsid w:val="00B371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71F4"/>
    <w:rPr>
      <w:rFonts w:ascii="Times New Roman" w:eastAsia="Times New Roman" w:hAnsi="Times New Roman" w:cs="Times New Roman"/>
      <w:sz w:val="24"/>
      <w:lang w:eastAsia="en-US"/>
    </w:rPr>
  </w:style>
  <w:style w:type="paragraph" w:styleId="List">
    <w:name w:val="List"/>
    <w:basedOn w:val="BodyText"/>
    <w:next w:val="BodyText"/>
    <w:rsid w:val="00B371F4"/>
    <w:pPr>
      <w:tabs>
        <w:tab w:val="left" w:pos="340"/>
      </w:tabs>
      <w:spacing w:before="60" w:after="60"/>
      <w:ind w:left="340" w:hanging="340"/>
    </w:pPr>
  </w:style>
  <w:style w:type="character" w:customStyle="1" w:styleId="SpecialBold">
    <w:name w:val="Special Bold"/>
    <w:basedOn w:val="DefaultParagraphFont"/>
    <w:rsid w:val="00B371F4"/>
    <w:rPr>
      <w:b/>
      <w:spacing w:val="0"/>
    </w:rPr>
  </w:style>
  <w:style w:type="character" w:styleId="Emphasis">
    <w:name w:val="Emphasis"/>
    <w:basedOn w:val="DefaultParagraphFont"/>
    <w:qFormat/>
    <w:rsid w:val="00B371F4"/>
    <w:rPr>
      <w:i/>
    </w:rPr>
  </w:style>
  <w:style w:type="paragraph" w:customStyle="1" w:styleId="SuperHeading">
    <w:name w:val="SuperHeading"/>
    <w:basedOn w:val="Normal"/>
    <w:rsid w:val="00B371F4"/>
    <w:pPr>
      <w:spacing w:before="240" w:after="120"/>
      <w:outlineLvl w:val="0"/>
    </w:pPr>
    <w:rPr>
      <w:rFonts w:ascii="Times New Roman" w:hAnsi="Times New Roman"/>
      <w:b/>
      <w:sz w:val="32"/>
    </w:rPr>
  </w:style>
  <w:style w:type="paragraph" w:customStyle="1" w:styleId="AllowPageBreak">
    <w:name w:val="AllowPageBreak"/>
    <w:rsid w:val="00B371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71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71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71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71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71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71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71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71F4"/>
    <w:rPr>
      <w:rFonts w:ascii="Courier New" w:eastAsia="Times New Roman" w:hAnsi="Courier New" w:cs="Times New Roman"/>
      <w:i/>
      <w:szCs w:val="20"/>
      <w:lang w:eastAsia="en-US"/>
    </w:rPr>
  </w:style>
  <w:style w:type="paragraph" w:customStyle="1" w:styleId="HeadingBase">
    <w:name w:val="Heading Base"/>
    <w:rsid w:val="00B371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71F4"/>
    <w:pPr>
      <w:tabs>
        <w:tab w:val="right" w:leader="dot" w:pos="9072"/>
      </w:tabs>
      <w:ind w:left="567"/>
    </w:pPr>
    <w:rPr>
      <w:szCs w:val="22"/>
    </w:rPr>
  </w:style>
  <w:style w:type="paragraph" w:customStyle="1" w:styleId="TOCBase">
    <w:name w:val="TOC Base"/>
    <w:rsid w:val="00B371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71F4"/>
    <w:pPr>
      <w:tabs>
        <w:tab w:val="right" w:leader="dot" w:pos="9072"/>
      </w:tabs>
      <w:spacing w:before="40" w:after="40"/>
      <w:ind w:left="284"/>
    </w:pPr>
    <w:rPr>
      <w:rFonts w:ascii="Times New Roman" w:hAnsi="Times New Roman"/>
    </w:rPr>
  </w:style>
  <w:style w:type="paragraph" w:styleId="TOC1">
    <w:name w:val="toc 1"/>
    <w:basedOn w:val="TOCBase"/>
    <w:next w:val="Normal"/>
    <w:rsid w:val="00B371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71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71F4"/>
    <w:rPr>
      <w:rFonts w:ascii="Times New Roman" w:eastAsia="Times New Roman" w:hAnsi="Times New Roman" w:cs="Times New Roman"/>
      <w:sz w:val="16"/>
      <w:lang w:eastAsia="en-US"/>
    </w:rPr>
  </w:style>
  <w:style w:type="paragraph" w:styleId="Title">
    <w:name w:val="Title"/>
    <w:basedOn w:val="HeadingBase"/>
    <w:link w:val="TitleChar"/>
    <w:qFormat/>
    <w:rsid w:val="00B371F4"/>
    <w:pPr>
      <w:spacing w:before="5040"/>
      <w:jc w:val="center"/>
    </w:pPr>
    <w:rPr>
      <w:sz w:val="48"/>
      <w:szCs w:val="72"/>
      <w:lang w:val="en-US"/>
    </w:rPr>
  </w:style>
  <w:style w:type="character" w:customStyle="1" w:styleId="TitleChar">
    <w:name w:val="Title Char"/>
    <w:basedOn w:val="DefaultParagraphFont"/>
    <w:link w:val="Title"/>
    <w:rsid w:val="00B371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71F4"/>
    <w:pPr>
      <w:tabs>
        <w:tab w:val="left" w:pos="3600"/>
        <w:tab w:val="left" w:pos="3958"/>
      </w:tabs>
    </w:pPr>
  </w:style>
  <w:style w:type="paragraph" w:styleId="ListBullet">
    <w:name w:val="List Bullet"/>
    <w:basedOn w:val="List"/>
    <w:rsid w:val="00B371F4"/>
    <w:pPr>
      <w:numPr>
        <w:numId w:val="10"/>
      </w:numPr>
      <w:tabs>
        <w:tab w:val="clear" w:pos="340"/>
      </w:tabs>
      <w:spacing w:before="40" w:after="40"/>
    </w:pPr>
  </w:style>
  <w:style w:type="paragraph" w:customStyle="1" w:styleId="Note">
    <w:name w:val="Note"/>
    <w:basedOn w:val="BodyText"/>
    <w:rsid w:val="00B371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71F4"/>
    <w:pPr>
      <w:framePr w:wrap="auto" w:hAnchor="text" w:y="6049"/>
    </w:pPr>
    <w:rPr>
      <w:color w:val="000000"/>
      <w:sz w:val="40"/>
    </w:rPr>
  </w:style>
  <w:style w:type="paragraph" w:customStyle="1" w:styleId="TOCTitle">
    <w:name w:val="TOCTitle"/>
    <w:basedOn w:val="Heading1"/>
    <w:rsid w:val="00B371F4"/>
    <w:pPr>
      <w:spacing w:after="240"/>
      <w:jc w:val="center"/>
      <w:outlineLvl w:val="9"/>
    </w:pPr>
    <w:rPr>
      <w:caps/>
    </w:rPr>
  </w:style>
  <w:style w:type="paragraph" w:customStyle="1" w:styleId="Version">
    <w:name w:val="Version"/>
    <w:rsid w:val="00B371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71F4"/>
    <w:pPr>
      <w:numPr>
        <w:numId w:val="11"/>
      </w:numPr>
      <w:tabs>
        <w:tab w:val="clear" w:pos="680"/>
      </w:tabs>
    </w:pPr>
  </w:style>
  <w:style w:type="paragraph" w:styleId="Index1">
    <w:name w:val="index 1"/>
    <w:basedOn w:val="Normal"/>
    <w:next w:val="Normal"/>
    <w:semiHidden/>
    <w:rsid w:val="00B371F4"/>
    <w:pPr>
      <w:keepNext w:val="0"/>
      <w:tabs>
        <w:tab w:val="right" w:pos="4176"/>
      </w:tabs>
      <w:ind w:left="198" w:hanging="198"/>
    </w:pPr>
    <w:rPr>
      <w:rFonts w:ascii="Garamond" w:hAnsi="Garamond"/>
    </w:rPr>
  </w:style>
  <w:style w:type="paragraph" w:styleId="IndexHeading">
    <w:name w:val="index heading"/>
    <w:basedOn w:val="Normal"/>
    <w:next w:val="Index1"/>
    <w:semiHidden/>
    <w:rsid w:val="00B371F4"/>
    <w:pPr>
      <w:spacing w:before="120" w:after="120"/>
    </w:pPr>
    <w:rPr>
      <w:rFonts w:ascii="Arial" w:hAnsi="Arial"/>
      <w:b/>
      <w:color w:val="918585"/>
      <w:sz w:val="24"/>
    </w:rPr>
  </w:style>
  <w:style w:type="paragraph" w:styleId="Header">
    <w:name w:val="header"/>
    <w:basedOn w:val="Normal"/>
    <w:link w:val="HeaderChar"/>
    <w:rsid w:val="00B371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71F4"/>
    <w:rPr>
      <w:rFonts w:ascii="Times New Roman" w:eastAsia="Times New Roman" w:hAnsi="Times New Roman" w:cs="Times New Roman"/>
      <w:sz w:val="16"/>
      <w:szCs w:val="20"/>
      <w:lang w:val="en-GB" w:eastAsia="en-US"/>
    </w:rPr>
  </w:style>
  <w:style w:type="paragraph" w:customStyle="1" w:styleId="Chapter">
    <w:name w:val="Chapter"/>
    <w:basedOn w:val="Normal"/>
    <w:rsid w:val="00B371F4"/>
    <w:pPr>
      <w:spacing w:before="240"/>
    </w:pPr>
    <w:rPr>
      <w:rFonts w:ascii="Times New Roman" w:hAnsi="Times New Roman"/>
      <w:smallCaps/>
      <w:spacing w:val="80"/>
      <w:sz w:val="28"/>
    </w:rPr>
  </w:style>
  <w:style w:type="paragraph" w:customStyle="1" w:styleId="InChapter">
    <w:name w:val="InChapter"/>
    <w:basedOn w:val="Heading3"/>
    <w:rsid w:val="00B371F4"/>
    <w:pPr>
      <w:spacing w:after="240"/>
      <w:outlineLvl w:val="9"/>
    </w:pPr>
    <w:rPr>
      <w:noProof/>
    </w:rPr>
  </w:style>
  <w:style w:type="paragraph" w:styleId="Index2">
    <w:name w:val="index 2"/>
    <w:basedOn w:val="Normal"/>
    <w:next w:val="Normal"/>
    <w:semiHidden/>
    <w:rsid w:val="00B371F4"/>
    <w:pPr>
      <w:tabs>
        <w:tab w:val="right" w:pos="4176"/>
      </w:tabs>
      <w:ind w:left="568" w:hanging="284"/>
    </w:pPr>
    <w:rPr>
      <w:rFonts w:ascii="Garamond" w:hAnsi="Garamond"/>
    </w:rPr>
  </w:style>
  <w:style w:type="paragraph" w:customStyle="1" w:styleId="Byline">
    <w:name w:val="Byline"/>
    <w:rsid w:val="00B371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71F4"/>
    <w:pPr>
      <w:tabs>
        <w:tab w:val="clear" w:pos="3600"/>
        <w:tab w:val="clear" w:pos="3958"/>
      </w:tabs>
      <w:jc w:val="right"/>
    </w:pPr>
  </w:style>
  <w:style w:type="paragraph" w:styleId="Caption">
    <w:name w:val="caption"/>
    <w:basedOn w:val="BodyText"/>
    <w:next w:val="Normal"/>
    <w:qFormat/>
    <w:rsid w:val="00B371F4"/>
    <w:pPr>
      <w:framePr w:w="2268" w:hSpace="181" w:vSpace="181" w:wrap="around" w:vAnchor="text" w:hAnchor="page" w:x="1135" w:y="285" w:anchorLock="1"/>
    </w:pPr>
    <w:rPr>
      <w:i/>
    </w:rPr>
  </w:style>
  <w:style w:type="paragraph" w:customStyle="1" w:styleId="MiniTOCTitle">
    <w:name w:val="MiniTOCTitle"/>
    <w:basedOn w:val="Heading4"/>
    <w:rsid w:val="00B371F4"/>
    <w:pPr>
      <w:spacing w:before="240"/>
      <w:outlineLvl w:val="9"/>
    </w:pPr>
    <w:rPr>
      <w:noProof/>
      <w:sz w:val="24"/>
    </w:rPr>
  </w:style>
  <w:style w:type="paragraph" w:customStyle="1" w:styleId="MiniTOCItem">
    <w:name w:val="MiniTOCItem"/>
    <w:basedOn w:val="ListBullet"/>
    <w:rsid w:val="00B371F4"/>
    <w:pPr>
      <w:numPr>
        <w:numId w:val="0"/>
      </w:numPr>
      <w:tabs>
        <w:tab w:val="right" w:leader="dot" w:pos="6521"/>
      </w:tabs>
      <w:spacing w:before="0" w:after="0"/>
    </w:pPr>
  </w:style>
  <w:style w:type="paragraph" w:customStyle="1" w:styleId="TOFTitle">
    <w:name w:val="TOFTitle"/>
    <w:basedOn w:val="TOCTitle"/>
    <w:rsid w:val="00B371F4"/>
  </w:style>
  <w:style w:type="paragraph" w:styleId="TableofFigures">
    <w:name w:val="table of figures"/>
    <w:basedOn w:val="Normal"/>
    <w:next w:val="Normal"/>
    <w:semiHidden/>
    <w:rsid w:val="00B371F4"/>
    <w:pPr>
      <w:tabs>
        <w:tab w:val="right" w:leader="dot" w:pos="9072"/>
      </w:tabs>
      <w:ind w:left="970" w:hanging="403"/>
    </w:pPr>
    <w:rPr>
      <w:rFonts w:ascii="Times New Roman" w:hAnsi="Times New Roman"/>
      <w:b/>
    </w:rPr>
  </w:style>
  <w:style w:type="paragraph" w:styleId="ListNumber">
    <w:name w:val="List Number"/>
    <w:basedOn w:val="List"/>
    <w:rsid w:val="00B371F4"/>
    <w:pPr>
      <w:numPr>
        <w:numId w:val="13"/>
      </w:numPr>
      <w:tabs>
        <w:tab w:val="clear" w:pos="340"/>
      </w:tabs>
    </w:pPr>
  </w:style>
  <w:style w:type="character" w:customStyle="1" w:styleId="WingdingSymbols">
    <w:name w:val="Wingding Symbols"/>
    <w:rsid w:val="00B371F4"/>
    <w:rPr>
      <w:rFonts w:ascii="Wingdings" w:hAnsi="Wingdings"/>
    </w:rPr>
  </w:style>
  <w:style w:type="paragraph" w:customStyle="1" w:styleId="TableHeading">
    <w:name w:val="Table Heading"/>
    <w:basedOn w:val="HeadingBase"/>
    <w:rsid w:val="00B371F4"/>
    <w:pPr>
      <w:keepLines/>
      <w:pBdr>
        <w:bottom w:val="single" w:sz="6" w:space="1" w:color="918585"/>
      </w:pBdr>
      <w:spacing w:before="240"/>
    </w:pPr>
  </w:style>
  <w:style w:type="character" w:customStyle="1" w:styleId="HotSpot">
    <w:name w:val="HotSpot"/>
    <w:rsid w:val="00B371F4"/>
    <w:rPr>
      <w:color w:val="0033CC"/>
      <w:u w:val="none"/>
    </w:rPr>
  </w:style>
  <w:style w:type="paragraph" w:customStyle="1" w:styleId="BodyTextRight">
    <w:name w:val="Body Text Right"/>
    <w:basedOn w:val="BodyText"/>
    <w:rsid w:val="00B371F4"/>
    <w:pPr>
      <w:spacing w:before="0" w:after="0"/>
      <w:jc w:val="right"/>
    </w:pPr>
  </w:style>
  <w:style w:type="paragraph" w:styleId="Index3">
    <w:name w:val="index 3"/>
    <w:basedOn w:val="ListNumber2"/>
    <w:next w:val="Normal"/>
    <w:semiHidden/>
    <w:rsid w:val="00B371F4"/>
    <w:pPr>
      <w:numPr>
        <w:numId w:val="0"/>
      </w:numPr>
      <w:tabs>
        <w:tab w:val="right" w:leader="dot" w:pos="4176"/>
      </w:tabs>
    </w:pPr>
  </w:style>
  <w:style w:type="paragraph" w:styleId="ListNumber2">
    <w:name w:val="List Number 2"/>
    <w:basedOn w:val="List2"/>
    <w:rsid w:val="00B371F4"/>
    <w:pPr>
      <w:numPr>
        <w:numId w:val="8"/>
      </w:numPr>
      <w:tabs>
        <w:tab w:val="clear" w:pos="1060"/>
      </w:tabs>
    </w:pPr>
  </w:style>
  <w:style w:type="paragraph" w:customStyle="1" w:styleId="MarginNote">
    <w:name w:val="Margin Note"/>
    <w:basedOn w:val="BodyText"/>
    <w:rsid w:val="00B371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71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71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71F4"/>
    <w:rPr>
      <w:sz w:val="32"/>
    </w:rPr>
  </w:style>
  <w:style w:type="paragraph" w:customStyle="1" w:styleId="HeadingProcedure">
    <w:name w:val="Heading Procedure"/>
    <w:basedOn w:val="HeadingBase"/>
    <w:next w:val="Normal"/>
    <w:rsid w:val="00B371F4"/>
    <w:pPr>
      <w:tabs>
        <w:tab w:val="left" w:pos="0"/>
      </w:tabs>
      <w:spacing w:before="120" w:after="60"/>
    </w:pPr>
    <w:rPr>
      <w:i/>
      <w:color w:val="918585"/>
      <w:sz w:val="22"/>
    </w:rPr>
  </w:style>
  <w:style w:type="paragraph" w:customStyle="1" w:styleId="TableBodyText">
    <w:name w:val="Table Body Text"/>
    <w:basedOn w:val="BodyText"/>
    <w:rsid w:val="00B371F4"/>
    <w:pPr>
      <w:spacing w:before="60" w:after="60"/>
    </w:pPr>
  </w:style>
  <w:style w:type="paragraph" w:styleId="ListContinue">
    <w:name w:val="List Continue"/>
    <w:basedOn w:val="List"/>
    <w:rsid w:val="00B371F4"/>
    <w:pPr>
      <w:ind w:firstLine="0"/>
    </w:pPr>
  </w:style>
  <w:style w:type="paragraph" w:customStyle="1" w:styleId="ListNote">
    <w:name w:val="List Note"/>
    <w:basedOn w:val="List"/>
    <w:rsid w:val="00B371F4"/>
    <w:pPr>
      <w:pBdr>
        <w:top w:val="single" w:sz="6" w:space="2" w:color="918585"/>
        <w:bottom w:val="single" w:sz="6" w:space="2" w:color="918585"/>
      </w:pBdr>
      <w:tabs>
        <w:tab w:val="left" w:pos="1021"/>
      </w:tabs>
      <w:ind w:firstLine="0"/>
    </w:pPr>
  </w:style>
  <w:style w:type="paragraph" w:customStyle="1" w:styleId="Warning">
    <w:name w:val="Warning"/>
    <w:basedOn w:val="BodyText"/>
    <w:rsid w:val="00B371F4"/>
    <w:pPr>
      <w:shd w:val="clear" w:color="auto" w:fill="D9D9D9"/>
      <w:tabs>
        <w:tab w:val="left" w:pos="992"/>
      </w:tabs>
      <w:ind w:left="119" w:right="119"/>
    </w:pPr>
    <w:rPr>
      <w:sz w:val="20"/>
    </w:rPr>
  </w:style>
  <w:style w:type="paragraph" w:customStyle="1" w:styleId="MarginIcons">
    <w:name w:val="Margin Icons"/>
    <w:basedOn w:val="BodyText"/>
    <w:rsid w:val="00B371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71F4"/>
    <w:rPr>
      <w:rFonts w:ascii="Courier New" w:hAnsi="Courier New"/>
    </w:rPr>
  </w:style>
  <w:style w:type="paragraph" w:customStyle="1" w:styleId="NoteBullet">
    <w:name w:val="Note Bullet"/>
    <w:basedOn w:val="Note"/>
    <w:rsid w:val="00B371F4"/>
    <w:pPr>
      <w:tabs>
        <w:tab w:val="clear" w:pos="680"/>
      </w:tabs>
      <w:spacing w:before="60" w:after="60"/>
    </w:pPr>
  </w:style>
  <w:style w:type="paragraph" w:customStyle="1" w:styleId="SubHeading2">
    <w:name w:val="SubHeading2"/>
    <w:basedOn w:val="HeadingBase"/>
    <w:rsid w:val="00B371F4"/>
    <w:pPr>
      <w:spacing w:before="240" w:after="60"/>
    </w:pPr>
    <w:rPr>
      <w:sz w:val="20"/>
    </w:rPr>
  </w:style>
  <w:style w:type="paragraph" w:customStyle="1" w:styleId="SubHeading1">
    <w:name w:val="SubHeading1"/>
    <w:basedOn w:val="HeadingBase"/>
    <w:rsid w:val="00B371F4"/>
    <w:pPr>
      <w:spacing w:before="240" w:after="60"/>
    </w:pPr>
    <w:rPr>
      <w:color w:val="918585"/>
      <w:sz w:val="22"/>
    </w:rPr>
  </w:style>
  <w:style w:type="paragraph" w:customStyle="1" w:styleId="SideHeading">
    <w:name w:val="Side Heading"/>
    <w:basedOn w:val="HeadingBase"/>
    <w:rsid w:val="00B371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71F4"/>
    <w:pPr>
      <w:numPr>
        <w:numId w:val="9"/>
      </w:numPr>
    </w:pPr>
  </w:style>
  <w:style w:type="paragraph" w:styleId="PlainText">
    <w:name w:val="Plain Text"/>
    <w:basedOn w:val="Normal"/>
    <w:link w:val="PlainTextChar"/>
    <w:rsid w:val="00B371F4"/>
    <w:rPr>
      <w:sz w:val="20"/>
    </w:rPr>
  </w:style>
  <w:style w:type="character" w:customStyle="1" w:styleId="PlainTextChar">
    <w:name w:val="Plain Text Char"/>
    <w:basedOn w:val="DefaultParagraphFont"/>
    <w:link w:val="PlainText"/>
    <w:rsid w:val="00B371F4"/>
    <w:rPr>
      <w:rFonts w:ascii="Courier New" w:eastAsia="Times New Roman" w:hAnsi="Courier New" w:cs="Times New Roman"/>
      <w:sz w:val="20"/>
      <w:szCs w:val="20"/>
      <w:lang w:eastAsia="en-US"/>
    </w:rPr>
  </w:style>
  <w:style w:type="character" w:customStyle="1" w:styleId="MenuOption">
    <w:name w:val="Menu Option"/>
    <w:basedOn w:val="DefaultParagraphFont"/>
    <w:rsid w:val="00B371F4"/>
    <w:rPr>
      <w:b/>
      <w:smallCaps/>
    </w:rPr>
  </w:style>
  <w:style w:type="paragraph" w:customStyle="1" w:styleId="TableListNumber">
    <w:name w:val="Table List Number"/>
    <w:basedOn w:val="ListNumber"/>
    <w:rsid w:val="00B371F4"/>
    <w:pPr>
      <w:numPr>
        <w:numId w:val="0"/>
      </w:numPr>
    </w:pPr>
  </w:style>
  <w:style w:type="paragraph" w:styleId="TOC4">
    <w:name w:val="toc 4"/>
    <w:basedOn w:val="TOCBase"/>
    <w:next w:val="Normal"/>
    <w:semiHidden/>
    <w:rsid w:val="00B371F4"/>
    <w:pPr>
      <w:tabs>
        <w:tab w:val="right" w:leader="dot" w:pos="9071"/>
      </w:tabs>
      <w:ind w:left="1701"/>
    </w:pPr>
  </w:style>
  <w:style w:type="paragraph" w:customStyle="1" w:styleId="ListAlpha">
    <w:name w:val="List Alpha"/>
    <w:basedOn w:val="List"/>
    <w:rsid w:val="00B371F4"/>
    <w:pPr>
      <w:numPr>
        <w:numId w:val="7"/>
      </w:numPr>
    </w:pPr>
  </w:style>
  <w:style w:type="paragraph" w:customStyle="1" w:styleId="ListAlpha2">
    <w:name w:val="List Alpha 2"/>
    <w:basedOn w:val="List2"/>
    <w:rsid w:val="00B371F4"/>
    <w:pPr>
      <w:numPr>
        <w:numId w:val="6"/>
      </w:numPr>
    </w:pPr>
  </w:style>
  <w:style w:type="paragraph" w:styleId="List2">
    <w:name w:val="List 2"/>
    <w:basedOn w:val="BodyText"/>
    <w:rsid w:val="00B371F4"/>
    <w:pPr>
      <w:tabs>
        <w:tab w:val="left" w:pos="680"/>
      </w:tabs>
      <w:spacing w:before="60" w:after="60"/>
      <w:ind w:left="680" w:hanging="340"/>
    </w:pPr>
  </w:style>
  <w:style w:type="paragraph" w:styleId="List3">
    <w:name w:val="List 3"/>
    <w:basedOn w:val="BodyText"/>
    <w:rsid w:val="00B371F4"/>
    <w:pPr>
      <w:tabs>
        <w:tab w:val="left" w:pos="1021"/>
      </w:tabs>
      <w:spacing w:before="60" w:after="60"/>
      <w:ind w:left="1020" w:hanging="340"/>
    </w:pPr>
  </w:style>
  <w:style w:type="paragraph" w:styleId="List4">
    <w:name w:val="List 4"/>
    <w:basedOn w:val="BodyText"/>
    <w:rsid w:val="00B371F4"/>
    <w:pPr>
      <w:tabs>
        <w:tab w:val="left" w:pos="1361"/>
      </w:tabs>
      <w:spacing w:before="60" w:after="60"/>
      <w:ind w:left="1361" w:hanging="340"/>
    </w:pPr>
  </w:style>
  <w:style w:type="paragraph" w:styleId="List5">
    <w:name w:val="List 5"/>
    <w:basedOn w:val="BodyText"/>
    <w:rsid w:val="00B371F4"/>
    <w:pPr>
      <w:tabs>
        <w:tab w:val="left" w:pos="1701"/>
      </w:tabs>
      <w:spacing w:before="60" w:after="60"/>
      <w:ind w:left="1701" w:hanging="340"/>
    </w:pPr>
  </w:style>
  <w:style w:type="paragraph" w:styleId="ListBullet3">
    <w:name w:val="List Bullet 3"/>
    <w:basedOn w:val="List3"/>
    <w:rsid w:val="00B371F4"/>
    <w:pPr>
      <w:numPr>
        <w:numId w:val="12"/>
      </w:numPr>
      <w:tabs>
        <w:tab w:val="clear" w:pos="1021"/>
      </w:tabs>
      <w:ind w:left="1037" w:hanging="357"/>
    </w:pPr>
  </w:style>
  <w:style w:type="paragraph" w:styleId="ListBullet4">
    <w:name w:val="List Bullet 4"/>
    <w:basedOn w:val="List4"/>
    <w:rsid w:val="00B371F4"/>
    <w:pPr>
      <w:numPr>
        <w:numId w:val="1"/>
      </w:numPr>
      <w:tabs>
        <w:tab w:val="clear" w:pos="1361"/>
      </w:tabs>
    </w:pPr>
  </w:style>
  <w:style w:type="paragraph" w:styleId="ListBullet5">
    <w:name w:val="List Bullet 5"/>
    <w:basedOn w:val="List5"/>
    <w:rsid w:val="00B371F4"/>
    <w:pPr>
      <w:numPr>
        <w:numId w:val="2"/>
      </w:numPr>
    </w:pPr>
  </w:style>
  <w:style w:type="paragraph" w:styleId="ListContinue2">
    <w:name w:val="List Continue 2"/>
    <w:basedOn w:val="List2"/>
    <w:rsid w:val="00B371F4"/>
    <w:pPr>
      <w:ind w:firstLine="0"/>
    </w:pPr>
  </w:style>
  <w:style w:type="paragraph" w:styleId="ListContinue3">
    <w:name w:val="List Continue 3"/>
    <w:basedOn w:val="List3"/>
    <w:rsid w:val="00B371F4"/>
    <w:pPr>
      <w:ind w:left="1021" w:firstLine="0"/>
    </w:pPr>
  </w:style>
  <w:style w:type="paragraph" w:styleId="ListContinue4">
    <w:name w:val="List Continue 4"/>
    <w:basedOn w:val="List4"/>
    <w:rsid w:val="00B371F4"/>
    <w:pPr>
      <w:ind w:firstLine="0"/>
    </w:pPr>
  </w:style>
  <w:style w:type="paragraph" w:styleId="ListContinue5">
    <w:name w:val="List Continue 5"/>
    <w:basedOn w:val="List5"/>
    <w:rsid w:val="00B371F4"/>
    <w:pPr>
      <w:ind w:firstLine="0"/>
    </w:pPr>
  </w:style>
  <w:style w:type="paragraph" w:styleId="ListNumber3">
    <w:name w:val="List Number 3"/>
    <w:basedOn w:val="List3"/>
    <w:rsid w:val="00B371F4"/>
    <w:pPr>
      <w:numPr>
        <w:numId w:val="3"/>
      </w:numPr>
    </w:pPr>
  </w:style>
  <w:style w:type="paragraph" w:styleId="ListNumber4">
    <w:name w:val="List Number 4"/>
    <w:basedOn w:val="List4"/>
    <w:rsid w:val="00B371F4"/>
    <w:pPr>
      <w:numPr>
        <w:numId w:val="4"/>
      </w:numPr>
    </w:pPr>
  </w:style>
  <w:style w:type="paragraph" w:styleId="ListNumber5">
    <w:name w:val="List Number 5"/>
    <w:basedOn w:val="List5"/>
    <w:rsid w:val="00B371F4"/>
    <w:pPr>
      <w:numPr>
        <w:numId w:val="5"/>
      </w:numPr>
    </w:pPr>
  </w:style>
  <w:style w:type="paragraph" w:styleId="BlockText">
    <w:name w:val="Block Text"/>
    <w:basedOn w:val="Normal"/>
    <w:rsid w:val="00B371F4"/>
    <w:pPr>
      <w:spacing w:after="120"/>
      <w:ind w:left="1440" w:right="1440"/>
    </w:pPr>
  </w:style>
  <w:style w:type="character" w:customStyle="1" w:styleId="Subscript">
    <w:name w:val="Subscript"/>
    <w:basedOn w:val="DefaultParagraphFont"/>
    <w:rsid w:val="00B371F4"/>
    <w:rPr>
      <w:sz w:val="16"/>
      <w:vertAlign w:val="subscript"/>
    </w:rPr>
  </w:style>
  <w:style w:type="character" w:customStyle="1" w:styleId="Superscript">
    <w:name w:val="Superscript"/>
    <w:basedOn w:val="DefaultParagraphFont"/>
    <w:rsid w:val="00B371F4"/>
    <w:rPr>
      <w:sz w:val="16"/>
      <w:vertAlign w:val="superscript"/>
    </w:rPr>
  </w:style>
  <w:style w:type="character" w:customStyle="1" w:styleId="Symbols">
    <w:name w:val="Symbols"/>
    <w:basedOn w:val="DefaultParagraphFont"/>
    <w:rsid w:val="00B371F4"/>
    <w:rPr>
      <w:rFonts w:ascii="Symbol" w:hAnsi="Symbol"/>
    </w:rPr>
  </w:style>
  <w:style w:type="character" w:customStyle="1" w:styleId="MenuOptions">
    <w:name w:val="Menu Options"/>
    <w:basedOn w:val="DefaultParagraphFont"/>
    <w:rsid w:val="00B371F4"/>
    <w:rPr>
      <w:rFonts w:ascii="Arial Narrow" w:hAnsi="Arial Narrow"/>
      <w:smallCaps/>
    </w:rPr>
  </w:style>
  <w:style w:type="character" w:customStyle="1" w:styleId="Buttons">
    <w:name w:val="Buttons"/>
    <w:basedOn w:val="DefaultParagraphFont"/>
    <w:rsid w:val="00B371F4"/>
    <w:rPr>
      <w:b/>
    </w:rPr>
  </w:style>
  <w:style w:type="character" w:customStyle="1" w:styleId="Underlined">
    <w:name w:val="Underlined"/>
    <w:basedOn w:val="DefaultParagraphFont"/>
    <w:rsid w:val="00B371F4"/>
    <w:rPr>
      <w:u w:val="single"/>
    </w:rPr>
  </w:style>
  <w:style w:type="paragraph" w:customStyle="1" w:styleId="TableBodyTextRight">
    <w:name w:val="Table Body Text Right"/>
    <w:basedOn w:val="TableBodyText"/>
    <w:rsid w:val="00B371F4"/>
    <w:pPr>
      <w:widowControl w:val="0"/>
      <w:autoSpaceDE w:val="0"/>
      <w:autoSpaceDN w:val="0"/>
      <w:adjustRightInd w:val="0"/>
      <w:jc w:val="right"/>
    </w:pPr>
    <w:rPr>
      <w:rFonts w:cs="Arial"/>
      <w:szCs w:val="18"/>
    </w:rPr>
  </w:style>
  <w:style w:type="paragraph" w:customStyle="1" w:styleId="CopyrightText">
    <w:name w:val="Copyright Text"/>
    <w:basedOn w:val="BodyText"/>
    <w:rsid w:val="00B371F4"/>
    <w:rPr>
      <w:sz w:val="18"/>
    </w:rPr>
  </w:style>
  <w:style w:type="paragraph" w:customStyle="1" w:styleId="BodySmallRight">
    <w:name w:val="Body Small Right"/>
    <w:basedOn w:val="BodyTextRight"/>
    <w:rsid w:val="00B371F4"/>
    <w:rPr>
      <w:sz w:val="18"/>
      <w:szCs w:val="18"/>
    </w:rPr>
  </w:style>
  <w:style w:type="paragraph" w:customStyle="1" w:styleId="MarginEdition">
    <w:name w:val="Margin Edition"/>
    <w:basedOn w:val="MarginNote"/>
    <w:rsid w:val="00B371F4"/>
    <w:pPr>
      <w:spacing w:before="0" w:after="0"/>
    </w:pPr>
    <w:rPr>
      <w:rFonts w:ascii="Times New Roman" w:hAnsi="Times New Roman"/>
      <w:color w:val="999999"/>
    </w:rPr>
  </w:style>
  <w:style w:type="paragraph" w:customStyle="1" w:styleId="Spacer">
    <w:name w:val="Spacer"/>
    <w:basedOn w:val="Normal"/>
    <w:rsid w:val="00B371F4"/>
    <w:rPr>
      <w:sz w:val="2"/>
      <w:szCs w:val="2"/>
    </w:rPr>
  </w:style>
  <w:style w:type="character" w:customStyle="1" w:styleId="Small">
    <w:name w:val="Small"/>
    <w:basedOn w:val="DefaultParagraphFont"/>
    <w:rsid w:val="00B371F4"/>
    <w:rPr>
      <w:sz w:val="16"/>
    </w:rPr>
  </w:style>
  <w:style w:type="paragraph" w:customStyle="1" w:styleId="WideTable">
    <w:name w:val="Wide Table"/>
    <w:basedOn w:val="Normal"/>
    <w:rsid w:val="00B371F4"/>
    <w:pPr>
      <w:ind w:left="-1418"/>
    </w:pPr>
    <w:rPr>
      <w:sz w:val="2"/>
      <w:szCs w:val="2"/>
    </w:rPr>
  </w:style>
  <w:style w:type="character" w:styleId="PageNumber">
    <w:name w:val="page number"/>
    <w:basedOn w:val="DefaultParagraphFont"/>
    <w:rsid w:val="00B371F4"/>
  </w:style>
  <w:style w:type="paragraph" w:styleId="Quote">
    <w:name w:val="Quote"/>
    <w:basedOn w:val="Heading1"/>
    <w:link w:val="QuoteChar"/>
    <w:qFormat/>
    <w:rsid w:val="00B371F4"/>
    <w:rPr>
      <w:b w:val="0"/>
      <w:sz w:val="72"/>
      <w:szCs w:val="72"/>
      <w:lang w:val="en-NZ"/>
    </w:rPr>
  </w:style>
  <w:style w:type="character" w:customStyle="1" w:styleId="QuoteChar">
    <w:name w:val="Quote Char"/>
    <w:basedOn w:val="DefaultParagraphFont"/>
    <w:link w:val="Quote"/>
    <w:rsid w:val="00B371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71F4"/>
    <w:pPr>
      <w:pageBreakBefore/>
    </w:pPr>
  </w:style>
  <w:style w:type="paragraph" w:customStyle="1" w:styleId="Border">
    <w:name w:val="Border"/>
    <w:basedOn w:val="Normal"/>
    <w:qFormat/>
    <w:rsid w:val="00B371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71F4"/>
    <w:rPr>
      <w:b/>
      <w:bCs/>
      <w:i/>
      <w:iCs/>
      <w:color w:val="auto"/>
    </w:rPr>
  </w:style>
  <w:style w:type="paragraph" w:styleId="IntenseQuote">
    <w:name w:val="Intense Quote"/>
    <w:basedOn w:val="Normal"/>
    <w:next w:val="Normal"/>
    <w:link w:val="IntenseQuoteChar"/>
    <w:uiPriority w:val="30"/>
    <w:qFormat/>
    <w:rsid w:val="00B371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71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71F4"/>
    <w:rPr>
      <w:smallCaps/>
      <w:color w:val="auto"/>
      <w:u w:val="single"/>
    </w:rPr>
  </w:style>
  <w:style w:type="character" w:styleId="IntenseReference">
    <w:name w:val="Intense Reference"/>
    <w:basedOn w:val="DefaultParagraphFont"/>
    <w:uiPriority w:val="32"/>
    <w:qFormat/>
    <w:rsid w:val="00B371F4"/>
    <w:rPr>
      <w:b/>
      <w:bCs/>
      <w:smallCaps/>
      <w:color w:val="auto"/>
      <w:spacing w:val="5"/>
      <w:u w:val="single"/>
    </w:rPr>
  </w:style>
  <w:style w:type="paragraph" w:customStyle="1" w:styleId="2ColumnHeading">
    <w:name w:val="2Column Heading"/>
    <w:basedOn w:val="BodyText"/>
    <w:qFormat/>
    <w:rsid w:val="00B371F4"/>
    <w:pPr>
      <w:spacing w:after="60"/>
      <w:ind w:left="-2268"/>
    </w:pPr>
    <w:rPr>
      <w:b/>
    </w:rPr>
  </w:style>
  <w:style w:type="paragraph" w:customStyle="1" w:styleId="Heading1TOC">
    <w:name w:val="Heading1 TOC"/>
    <w:basedOn w:val="Normal"/>
    <w:qFormat/>
    <w:rsid w:val="00B371F4"/>
    <w:pPr>
      <w:spacing w:before="240" w:after="120"/>
    </w:pPr>
    <w:rPr>
      <w:rFonts w:ascii="Times New Roman" w:hAnsi="Times New Roman"/>
      <w:b/>
      <w:sz w:val="32"/>
    </w:rPr>
  </w:style>
  <w:style w:type="paragraph" w:customStyle="1" w:styleId="Heading2TOC">
    <w:name w:val="Heading2 TOC"/>
    <w:basedOn w:val="Normal"/>
    <w:qFormat/>
    <w:rsid w:val="00B371F4"/>
    <w:pPr>
      <w:spacing w:before="240" w:after="60"/>
    </w:pPr>
    <w:rPr>
      <w:rFonts w:ascii="Times New Roman" w:hAnsi="Times New Roman"/>
      <w:b/>
      <w:sz w:val="28"/>
    </w:rPr>
  </w:style>
  <w:style w:type="character" w:customStyle="1" w:styleId="Underline">
    <w:name w:val="Underline"/>
    <w:basedOn w:val="DefaultParagraphFont"/>
    <w:qFormat/>
    <w:rsid w:val="00B371F4"/>
    <w:rPr>
      <w:u w:val="single"/>
    </w:rPr>
  </w:style>
  <w:style w:type="character" w:customStyle="1" w:styleId="BoldandItalics">
    <w:name w:val="Bold and Italics"/>
    <w:qFormat/>
    <w:rsid w:val="00B371F4"/>
    <w:rPr>
      <w:b/>
      <w:i/>
      <w:u w:val="none"/>
    </w:rPr>
  </w:style>
  <w:style w:type="paragraph" w:styleId="BalloonText">
    <w:name w:val="Balloon Text"/>
    <w:basedOn w:val="Normal"/>
    <w:link w:val="BalloonTextChar"/>
    <w:rsid w:val="00B371F4"/>
    <w:rPr>
      <w:rFonts w:ascii="Tahoma" w:hAnsi="Tahoma" w:cs="Tahoma"/>
      <w:sz w:val="16"/>
      <w:szCs w:val="16"/>
    </w:rPr>
  </w:style>
  <w:style w:type="character" w:customStyle="1" w:styleId="BalloonTextChar">
    <w:name w:val="Balloon Text Char"/>
    <w:basedOn w:val="DefaultParagraphFont"/>
    <w:link w:val="BalloonText"/>
    <w:rsid w:val="00B371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71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71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71F4"/>
    <w:rPr>
      <w:b/>
      <w:color w:val="660033"/>
      <w:spacing w:val="0"/>
    </w:rPr>
  </w:style>
  <w:style w:type="paragraph" w:customStyle="1" w:styleId="Nameditemlist">
    <w:name w:val="Named item list"/>
    <w:basedOn w:val="BodyText"/>
    <w:qFormat/>
    <w:rsid w:val="00B371F4"/>
    <w:pPr>
      <w:tabs>
        <w:tab w:val="left" w:pos="2835"/>
      </w:tabs>
      <w:ind w:left="2835" w:hanging="2835"/>
    </w:pPr>
  </w:style>
  <w:style w:type="paragraph" w:customStyle="1" w:styleId="BodyTextnopadding">
    <w:name w:val="Body Text no padding"/>
    <w:basedOn w:val="BodyText"/>
    <w:qFormat/>
    <w:rsid w:val="00B371F4"/>
    <w:pPr>
      <w:spacing w:before="0" w:after="0"/>
    </w:pPr>
  </w:style>
  <w:style w:type="paragraph" w:customStyle="1" w:styleId="BodyTextBold">
    <w:name w:val="Body Text Bold"/>
    <w:basedOn w:val="BodyText"/>
    <w:qFormat/>
    <w:rsid w:val="00B371F4"/>
    <w:rPr>
      <w:b/>
    </w:rPr>
  </w:style>
  <w:style w:type="character" w:styleId="Hyperlink">
    <w:name w:val="Hyperlink"/>
    <w:basedOn w:val="DefaultParagraphFont"/>
    <w:uiPriority w:val="99"/>
    <w:unhideWhenUsed/>
    <w:rsid w:val="00857D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539</Words>
  <Characters>3580</Characters>
  <Application>Microsoft Office Word</Application>
  <DocSecurity>0</DocSecurity>
  <Lines>115</Lines>
  <Paragraphs>66</Paragraphs>
  <ScaleCrop>false</ScaleCrop>
  <Company>Author-it Software Corporation Ltd.</Company>
  <LinksUpToDate>false</LinksUpToDate>
  <CharactersWithSpaces>4053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HLTANA012 Maintain quality and supply of anaesthetic equipment and consumables</dc:title>
  <dc:subject>Approved</dc:subject>
  <dc:creator>SkillsIQ</dc:creator>
  <cp:keywords>Release: 1</cp:keywords>
  <dc:description>Review Date: 12 April 2008</dc:description>
  <cp:lastModifiedBy>HSD_TPCMSd.prod</cp:lastModifiedBy>
  <cp:revision>3</cp:revision>
  <dcterms:created xsi:type="dcterms:W3CDTF">2023-07-02T02:11:00Z</dcterms:created>
  <dcterms:modified xsi:type="dcterms:W3CDTF">2023-07-02T02:11:00Z</dcterms:modified>
</cp:coreProperties>
</file>