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4C22" w:rsidP="006A4C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HLTANA011 Respond to anaesthesia related emergencies</w:t>
      </w:r>
      <w:r>
        <w:fldChar w:fldCharType="end"/>
      </w:r>
    </w:p>
    <w:p w:rsidR="006A4C22" w:rsidP="006A4C22">
      <w:pPr>
        <w:pStyle w:val="Version"/>
        <w:sectPr w:rsidSect="002B7F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7FA5" w:rsidP="002B7FA5">
      <w:pPr>
        <w:pStyle w:val="SuperHeading"/>
      </w:pPr>
      <w:r w:rsidRPr="002B7FA5">
        <w:t>HLTANA011 Respond to anaesthesia related emergencies</w:t>
      </w:r>
    </w:p>
    <w:p w:rsidR="00000000" w:rsidRPr="002B7FA5" w:rsidP="002B7FA5">
      <w:pPr>
        <w:pStyle w:val="Heading1"/>
      </w:pPr>
      <w:bookmarkStart w:id="1" w:name="O_1198947"/>
      <w:bookmarkEnd w:id="1"/>
      <w:r w:rsidRPr="002B7FA5">
        <w:t>Modification History</w:t>
      </w:r>
    </w:p>
    <w:p w:rsidR="00000000" w:rsidRPr="002B7FA5" w:rsidP="006A4C22">
      <w:pPr>
        <w:pStyle w:val="BodyText"/>
      </w:pPr>
      <w:r w:rsidRPr="002B7FA5">
        <w:t>Supersedes and is not equivalent to HLTANA004 Respond to anaesthesia related emergencies.</w:t>
      </w:r>
    </w:p>
    <w:p w:rsidR="00000000" w:rsidRPr="002B7FA5" w:rsidP="002B7FA5">
      <w:pPr>
        <w:pStyle w:val="Heading1"/>
      </w:pPr>
      <w:bookmarkStart w:id="2" w:name="O_1198948"/>
      <w:bookmarkEnd w:id="2"/>
      <w:r w:rsidRPr="002B7FA5">
        <w:t>Application</w:t>
      </w:r>
    </w:p>
    <w:p w:rsidR="00000000" w:rsidRPr="002B7FA5" w:rsidP="006A4C22">
      <w:pPr>
        <w:pStyle w:val="BodyText"/>
      </w:pPr>
      <w:r w:rsidRPr="002B7FA5">
        <w:t>This unit describes the skills and knowledge required to recognise signs of patient deterioratio</w:t>
      </w:r>
      <w:r w:rsidRPr="002B7FA5">
        <w:t>n that pose an immediate threat to life and respond appropriately, including the preparation of drugs used in emergency situations.</w:t>
      </w:r>
    </w:p>
    <w:p w:rsidR="00000000" w:rsidRPr="002B7FA5" w:rsidP="006A4C22">
      <w:pPr>
        <w:pStyle w:val="BodyText"/>
      </w:pPr>
      <w:r w:rsidRPr="002B7FA5">
        <w:t>This unit applies to anaesthetic technicians working under the direction of, and in consultation with, an anaesthetist or me</w:t>
      </w:r>
      <w:r w:rsidRPr="002B7FA5">
        <w:t>dical officer in any hospital or day surgery setting.</w:t>
      </w:r>
    </w:p>
    <w:p w:rsidR="00000000" w:rsidRPr="002B7FA5" w:rsidP="006A4C22">
      <w:pPr>
        <w:pStyle w:val="BodyText"/>
      </w:pPr>
      <w:r w:rsidRPr="002B7FA5">
        <w:t>The skills in this unit must be applied in accordance with Commonwealth and State or Territory legislation, Australian standards and industry codes of practice.</w:t>
      </w:r>
    </w:p>
    <w:p w:rsidR="00000000" w:rsidRPr="002B7FA5" w:rsidP="006A4C22">
      <w:pPr>
        <w:pStyle w:val="BodyText"/>
      </w:pPr>
      <w:r w:rsidRPr="002B7FA5">
        <w:t xml:space="preserve">No occupational licensing, certification </w:t>
      </w:r>
      <w:r w:rsidRPr="002B7FA5">
        <w:t>or specific legislative requirements apply to this unit at the time of publication.</w:t>
      </w:r>
    </w:p>
    <w:p w:rsidR="00000000" w:rsidRPr="002B7FA5" w:rsidP="002B7FA5">
      <w:pPr>
        <w:pStyle w:val="Heading1"/>
      </w:pPr>
      <w:bookmarkStart w:id="3" w:name="O_1198949"/>
      <w:bookmarkEnd w:id="3"/>
      <w:r w:rsidRPr="002B7FA5">
        <w:t>Pre-requisite Unit</w:t>
      </w:r>
    </w:p>
    <w:p w:rsidR="00000000" w:rsidRPr="002B7FA5" w:rsidP="006A4C22">
      <w:pPr>
        <w:pStyle w:val="BodyText"/>
      </w:pPr>
      <w:r w:rsidRPr="002B7FA5">
        <w:t xml:space="preserve">Nil </w:t>
      </w:r>
    </w:p>
    <w:p w:rsidR="00000000" w:rsidRPr="002B7FA5" w:rsidP="002B7FA5">
      <w:pPr>
        <w:pStyle w:val="Heading1"/>
      </w:pPr>
      <w:bookmarkStart w:id="4" w:name="O_1198950"/>
      <w:bookmarkEnd w:id="4"/>
      <w:r w:rsidRPr="002B7FA5">
        <w:t>Competency Field</w:t>
      </w:r>
    </w:p>
    <w:p w:rsidR="00000000" w:rsidRPr="002B7FA5" w:rsidP="006A4C22">
      <w:pPr>
        <w:pStyle w:val="BodyText"/>
      </w:pPr>
      <w:r w:rsidRPr="002B7FA5">
        <w:t>Anaesthetic Technology</w:t>
      </w:r>
    </w:p>
    <w:p w:rsidR="00000000" w:rsidRPr="002B7FA5" w:rsidP="002B7FA5">
      <w:pPr>
        <w:pStyle w:val="Heading1"/>
      </w:pPr>
      <w:bookmarkStart w:id="5" w:name="O_1198951"/>
      <w:bookmarkEnd w:id="5"/>
      <w:r w:rsidRPr="002B7FA5">
        <w:t>Unit Sector</w:t>
      </w:r>
    </w:p>
    <w:p w:rsidR="00000000" w:rsidRPr="002B7FA5" w:rsidP="006A4C22">
      <w:pPr>
        <w:pStyle w:val="BodyText"/>
      </w:pPr>
      <w:r w:rsidRPr="002B7FA5">
        <w:t>Health</w:t>
      </w:r>
    </w:p>
    <w:p w:rsidR="00000000" w:rsidRPr="002B7FA5" w:rsidP="002B7FA5">
      <w:pPr>
        <w:pStyle w:val="Heading1"/>
      </w:pPr>
      <w:bookmarkStart w:id="6" w:name="O_1198952"/>
      <w:bookmarkEnd w:id="6"/>
      <w:r w:rsidRPr="002B7FA5">
        <w:t xml:space="preserve">Elements and </w:t>
      </w:r>
      <w:r w:rsidRPr="002B7FA5">
        <w:t>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7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A5" w:rsidP="002B7FA5">
            <w:pPr>
              <w:pStyle w:val="BodyText"/>
            </w:pPr>
            <w:r w:rsidRPr="002B7FA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A5">
            <w:pPr>
              <w:pStyle w:val="BodyText"/>
              <w:rPr>
                <w:lang w:val="en-NZ"/>
              </w:rPr>
            </w:pPr>
            <w:r w:rsidRPr="002B7FA5">
              <w:rPr>
                <w:rStyle w:val="SpecialBold"/>
              </w:rPr>
              <w:t>PERFORMANCE</w:t>
            </w:r>
            <w:r w:rsidRPr="002B7FA5">
              <w:t xml:space="preserve"> </w:t>
            </w:r>
            <w:r w:rsidRPr="002B7FA5">
              <w:rPr>
                <w:rStyle w:val="SpecialBold"/>
              </w:rPr>
              <w:t>CRITERIA</w:t>
            </w:r>
          </w:p>
        </w:tc>
      </w:tr>
      <w:tr w:rsidTr="002B7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A5" w:rsidP="002B7FA5">
            <w:pPr>
              <w:pStyle w:val="BodyText"/>
            </w:pPr>
            <w:r w:rsidRPr="002B7FA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A5">
            <w:pPr>
              <w:pStyle w:val="BodyText"/>
              <w:rPr>
                <w:lang w:val="en-NZ"/>
              </w:rPr>
            </w:pPr>
            <w:r w:rsidRPr="002B7FA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B7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9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A5">
            <w:pPr>
              <w:pStyle w:val="List"/>
              <w:rPr>
                <w:lang w:val="en-NZ"/>
              </w:rPr>
            </w:pPr>
            <w:r w:rsidRPr="002B7FA5">
              <w:t>1.   Recognise clinical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A5" w:rsidP="002B7FA5">
            <w:pPr>
              <w:pStyle w:val="List"/>
            </w:pPr>
            <w:r w:rsidRPr="002B7FA5">
              <w:t>1.1. Recognise signs of deterioration in patients and immediately report to appropriate clinician.</w:t>
            </w:r>
          </w:p>
          <w:p w:rsidR="00000000" w:rsidP="002B7FA5">
            <w:pPr>
              <w:pStyle w:val="List"/>
              <w:rPr>
                <w:lang w:val="en-NZ"/>
              </w:rPr>
            </w:pPr>
            <w:r w:rsidRPr="002B7FA5">
              <w:t>1.2. Monitor, interpret and promptly recognise abnormal equipment readings and immediately report abnormal values to anaesthetist or medical staff.</w:t>
            </w:r>
          </w:p>
        </w:tc>
      </w:tr>
      <w:tr w:rsidTr="002B7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A5">
            <w:pPr>
              <w:pStyle w:val="List"/>
              <w:rPr>
                <w:lang w:val="en-NZ"/>
              </w:rPr>
            </w:pPr>
            <w:r w:rsidRPr="002B7FA5">
              <w:t>2.   Res</w:t>
            </w:r>
            <w:r w:rsidRPr="002B7FA5">
              <w:t>pond to clinical emergencies.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A5" w:rsidP="002B7FA5">
            <w:pPr>
              <w:pStyle w:val="List"/>
            </w:pPr>
            <w:r w:rsidRPr="002B7FA5">
              <w:t>2.1. Maintain patient’s vital functions pending attendance of medical staff.</w:t>
            </w:r>
          </w:p>
          <w:p w:rsidR="00000000" w:rsidRPr="002B7FA5" w:rsidP="002B7FA5">
            <w:pPr>
              <w:pStyle w:val="List"/>
            </w:pPr>
            <w:r w:rsidRPr="002B7FA5">
              <w:t>2.2. Use communication escalation techniques in accordance with organisational policies and procedures.</w:t>
            </w:r>
          </w:p>
          <w:p w:rsidR="00000000" w:rsidRPr="002B7FA5" w:rsidP="002B7FA5">
            <w:pPr>
              <w:pStyle w:val="List"/>
            </w:pPr>
            <w:r w:rsidRPr="002B7FA5">
              <w:t>2.3. Promptly obtain emergency equipment and make ready for relevant medical staff.</w:t>
            </w:r>
          </w:p>
          <w:p w:rsidR="00000000" w:rsidRPr="002B7FA5" w:rsidP="002B7FA5">
            <w:pPr>
              <w:pStyle w:val="List"/>
            </w:pPr>
            <w:r w:rsidRPr="002B7FA5">
              <w:t>2.4. Assist the anaesthetist or medical staff to perform any emergency procedures under direction.</w:t>
            </w:r>
          </w:p>
          <w:p w:rsidR="00000000" w:rsidP="002B7FA5">
            <w:pPr>
              <w:pStyle w:val="List"/>
              <w:rPr>
                <w:lang w:val="en-NZ"/>
              </w:rPr>
            </w:pPr>
            <w:r w:rsidRPr="002B7FA5">
              <w:t xml:space="preserve">2.5. Assist with the medical management of the patient and allocate work </w:t>
            </w:r>
            <w:r w:rsidRPr="002B7FA5">
              <w:t>to other team members according to priority.</w:t>
            </w:r>
          </w:p>
        </w:tc>
      </w:tr>
      <w:tr w:rsidTr="002B7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5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A5">
            <w:pPr>
              <w:pStyle w:val="List"/>
              <w:rPr>
                <w:lang w:val="en-NZ"/>
              </w:rPr>
            </w:pPr>
            <w:r w:rsidRPr="002B7FA5">
              <w:t>3.   Prepare drugs for administration in emergency 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A5" w:rsidP="002B7FA5">
            <w:pPr>
              <w:pStyle w:val="List"/>
            </w:pPr>
            <w:r w:rsidRPr="002B7FA5">
              <w:t xml:space="preserve">3.1. Ensure required drugs, diluents, fluids and therapeutic substances are readily available. </w:t>
            </w:r>
          </w:p>
          <w:p w:rsidR="00000000" w:rsidRPr="002B7FA5" w:rsidP="002B7FA5">
            <w:pPr>
              <w:pStyle w:val="List"/>
            </w:pPr>
            <w:r w:rsidRPr="002B7FA5">
              <w:t>3.2. Read expiry date for each drug, diluent, fluid</w:t>
            </w:r>
            <w:r w:rsidRPr="002B7FA5">
              <w:t xml:space="preserve"> or substance and check it has not been exceeded. </w:t>
            </w:r>
          </w:p>
          <w:p w:rsidR="00000000" w:rsidRPr="002B7FA5" w:rsidP="002B7FA5">
            <w:pPr>
              <w:pStyle w:val="List"/>
            </w:pPr>
            <w:r w:rsidRPr="002B7FA5">
              <w:t>3.3. Make accurate calculations to prepare drug to correct nature, quantity and dilution based on medical officer requirements.</w:t>
            </w:r>
          </w:p>
          <w:p w:rsidR="00000000" w:rsidRPr="002B7FA5" w:rsidP="002B7FA5">
            <w:pPr>
              <w:pStyle w:val="List"/>
            </w:pPr>
            <w:r w:rsidRPr="002B7FA5">
              <w:t>3.4. Check drugs with an authorised person prior to and after mixing.</w:t>
            </w:r>
          </w:p>
          <w:p w:rsidR="00000000" w:rsidRPr="002B7FA5" w:rsidP="002B7FA5">
            <w:pPr>
              <w:pStyle w:val="List"/>
            </w:pPr>
            <w:r w:rsidRPr="002B7FA5">
              <w:t>3.5. Us</w:t>
            </w:r>
            <w:r w:rsidRPr="002B7FA5">
              <w:t>e correct equipment and maintain sterility of drug and diluent.</w:t>
            </w:r>
          </w:p>
          <w:p w:rsidR="00000000" w:rsidRPr="002B7FA5" w:rsidP="002B7FA5">
            <w:pPr>
              <w:pStyle w:val="List"/>
            </w:pPr>
            <w:r w:rsidRPr="002B7FA5">
              <w:t>3.6. Check final drug dilution with anaesthetist or medical officer.</w:t>
            </w:r>
          </w:p>
          <w:p w:rsidR="00000000" w:rsidRPr="002B7FA5" w:rsidP="002B7FA5">
            <w:pPr>
              <w:pStyle w:val="List"/>
            </w:pPr>
            <w:r w:rsidRPr="002B7FA5">
              <w:t xml:space="preserve">3.7. Administer drugs under the direction and supervision of the anaesthetist. </w:t>
            </w:r>
          </w:p>
          <w:p w:rsidR="00000000" w:rsidP="002B7FA5">
            <w:pPr>
              <w:pStyle w:val="List"/>
              <w:rPr>
                <w:lang w:val="en-NZ"/>
              </w:rPr>
            </w:pPr>
            <w:r w:rsidRPr="002B7FA5">
              <w:t>3.8. Complete medication documentation in a</w:t>
            </w:r>
            <w:r w:rsidRPr="002B7FA5">
              <w:t>ccordance with organisational policies and procedures.</w:t>
            </w:r>
          </w:p>
        </w:tc>
      </w:tr>
      <w:tr w:rsidTr="002B7F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7FA5">
            <w:pPr>
              <w:pStyle w:val="List"/>
              <w:rPr>
                <w:lang w:val="en-NZ"/>
              </w:rPr>
            </w:pPr>
            <w:r w:rsidRPr="002B7FA5">
              <w:t>4.   Finalise emergency procedures.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7FA5" w:rsidP="002B7FA5">
            <w:pPr>
              <w:pStyle w:val="List"/>
            </w:pPr>
            <w:r w:rsidRPr="002B7FA5">
              <w:t>4.1. Document accurate and complete record of emergency situation and actions taken according to scope of own role.</w:t>
            </w:r>
          </w:p>
          <w:p w:rsidR="00000000" w:rsidRPr="002B7FA5" w:rsidP="002B7FA5">
            <w:pPr>
              <w:pStyle w:val="List"/>
            </w:pPr>
            <w:r w:rsidRPr="002B7FA5">
              <w:t>4.2. Participate in emergency de-brief in accord</w:t>
            </w:r>
            <w:r w:rsidRPr="002B7FA5">
              <w:t>ance with organisational policies and procedures.</w:t>
            </w:r>
          </w:p>
          <w:p w:rsidR="00000000" w:rsidRPr="002B7FA5" w:rsidP="002B7FA5">
            <w:pPr>
              <w:pStyle w:val="List"/>
            </w:pPr>
            <w:r w:rsidRPr="002B7FA5">
              <w:t>4.3. Review own role in emergency and identify potential actions to support future improvement.</w:t>
            </w:r>
          </w:p>
        </w:tc>
      </w:tr>
    </w:tbl>
    <w:p w:rsidR="00000000" w:rsidRPr="002B7FA5" w:rsidP="002B7FA5">
      <w:pPr>
        <w:pStyle w:val="BodyText"/>
      </w:pPr>
    </w:p>
    <w:p w:rsidR="00000000" w:rsidRPr="002B7FA5" w:rsidP="002B7FA5">
      <w:pPr>
        <w:pStyle w:val="AllowPageBreak"/>
      </w:pPr>
    </w:p>
    <w:p w:rsidR="00000000" w:rsidRPr="002B7FA5" w:rsidP="002B7FA5">
      <w:pPr>
        <w:pStyle w:val="Heading1"/>
      </w:pPr>
      <w:bookmarkStart w:id="7" w:name="O_1198953"/>
      <w:bookmarkEnd w:id="7"/>
      <w:r w:rsidRPr="002B7FA5">
        <w:t>Foundation Skills</w:t>
      </w:r>
    </w:p>
    <w:p w:rsidR="00000000" w:rsidRPr="002B7FA5" w:rsidP="006A4C22">
      <w:pPr>
        <w:pStyle w:val="BodyText"/>
      </w:pPr>
      <w:r w:rsidRPr="002B7FA5">
        <w:t>Foundation skills essential to performance are explicit in the performance criteria of this unit of competency.</w:t>
      </w:r>
    </w:p>
    <w:p w:rsidR="00000000" w:rsidRPr="002B7FA5" w:rsidP="002B7FA5">
      <w:pPr>
        <w:pStyle w:val="Heading1"/>
      </w:pPr>
      <w:bookmarkStart w:id="8" w:name="O_1198955"/>
      <w:bookmarkEnd w:id="8"/>
      <w:r w:rsidRPr="002B7FA5">
        <w:t>Unit Mapping Information</w:t>
      </w:r>
    </w:p>
    <w:p w:rsidR="00000000" w:rsidRPr="002B7FA5" w:rsidP="006A4C22">
      <w:pPr>
        <w:pStyle w:val="BodyText"/>
      </w:pPr>
      <w:r w:rsidRPr="002B7FA5">
        <w:t>Supersedes and is not equivalent to HLTANA004 Respond to anaesthesia related emergencies.</w:t>
      </w:r>
    </w:p>
    <w:p w:rsidR="00000000" w:rsidRPr="002B7FA5" w:rsidP="002B7FA5">
      <w:pPr>
        <w:pStyle w:val="Heading1"/>
      </w:pPr>
      <w:bookmarkStart w:id="9" w:name="O_1198962"/>
      <w:bookmarkEnd w:id="9"/>
      <w:r w:rsidRPr="002B7FA5">
        <w:t>Links</w:t>
      </w:r>
    </w:p>
    <w:p w:rsidR="00000000" w:rsidRPr="002B7FA5" w:rsidP="006A4C22">
      <w:pPr>
        <w:pStyle w:val="BodyText"/>
      </w:pPr>
      <w:r w:rsidRPr="002B7F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8194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B7FA5" w:rsidP="006A4C22">
      <w:pPr>
        <w:pStyle w:val="BodyText"/>
        <w:sectPr w:rsidSect="002B7F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7FA5" w:rsidP="002B7FA5">
      <w:pPr>
        <w:pStyle w:val="SuperHeading"/>
      </w:pPr>
      <w:r w:rsidRPr="002B7FA5">
        <w:t>Assessment Requirements for HLTANA011 Respond to</w:t>
      </w:r>
      <w:r w:rsidRPr="002B7FA5">
        <w:t xml:space="preserve"> anaesthesia related emergencies</w:t>
      </w:r>
    </w:p>
    <w:p w:rsidR="00000000" w:rsidRPr="002B7FA5" w:rsidP="002B7FA5">
      <w:pPr>
        <w:pStyle w:val="Heading1"/>
      </w:pPr>
      <w:bookmarkStart w:id="10" w:name="O_1198957"/>
      <w:bookmarkEnd w:id="10"/>
      <w:r w:rsidRPr="002B7FA5">
        <w:t>Modification History</w:t>
      </w:r>
    </w:p>
    <w:p w:rsidR="00000000" w:rsidRPr="002B7FA5" w:rsidP="006A4C22">
      <w:pPr>
        <w:pStyle w:val="BodyText"/>
      </w:pPr>
      <w:r w:rsidRPr="002B7FA5">
        <w:t>Supersedes and is not equivalent to HLTANA004 Respond to anaesthesia related emergencies.</w:t>
      </w:r>
    </w:p>
    <w:p w:rsidR="00000000" w:rsidRPr="002B7FA5" w:rsidP="002B7FA5">
      <w:pPr>
        <w:pStyle w:val="Heading1"/>
      </w:pPr>
      <w:bookmarkStart w:id="11" w:name="O_1198958"/>
      <w:bookmarkEnd w:id="11"/>
      <w:r w:rsidRPr="002B7FA5">
        <w:t>Performance Evidence</w:t>
      </w:r>
    </w:p>
    <w:p w:rsidR="00000000" w:rsidRPr="002B7FA5" w:rsidP="006A4C22">
      <w:pPr>
        <w:pStyle w:val="BodyText"/>
      </w:pPr>
      <w:r w:rsidRPr="002B7FA5">
        <w:t>Evidence of the a</w:t>
      </w:r>
      <w:r w:rsidRPr="002B7FA5">
        <w:t>bility to complete tasks outlined in elements and performance criteria of this unit in the context of the job role, and:</w:t>
      </w:r>
    </w:p>
    <w:p w:rsidR="00000000" w:rsidRPr="002B7FA5" w:rsidP="002B7FA5">
      <w:pPr>
        <w:pStyle w:val="ListBullet"/>
      </w:pPr>
      <w:r w:rsidRPr="002B7FA5">
        <w:t>determine and action response to each of the following diverse emergency situations on at least one occasion, including:</w:t>
      </w:r>
    </w:p>
    <w:p w:rsidR="00000000" w:rsidRPr="002B7FA5" w:rsidP="002B7FA5">
      <w:pPr>
        <w:pStyle w:val="ListBullet2"/>
      </w:pPr>
      <w:r w:rsidRPr="002B7FA5">
        <w:t xml:space="preserve">respiratory </w:t>
      </w:r>
      <w:r w:rsidRPr="002B7FA5">
        <w:t>or airway emergencies:</w:t>
      </w:r>
    </w:p>
    <w:p w:rsidR="00000000" w:rsidRPr="002B7FA5" w:rsidP="002B7FA5">
      <w:pPr>
        <w:pStyle w:val="ListBullet3"/>
      </w:pPr>
      <w:r w:rsidRPr="002B7FA5">
        <w:t>difficult or compromised airway</w:t>
      </w:r>
    </w:p>
    <w:p w:rsidR="00000000" w:rsidRPr="002B7FA5" w:rsidP="002B7FA5">
      <w:pPr>
        <w:pStyle w:val="ListBullet3"/>
      </w:pPr>
      <w:r w:rsidRPr="002B7FA5">
        <w:t>can’t intubate can’t oxygenate (CICO)</w:t>
      </w:r>
    </w:p>
    <w:p w:rsidR="00000000" w:rsidRPr="002B7FA5" w:rsidP="002B7FA5">
      <w:pPr>
        <w:pStyle w:val="ListBullet3"/>
      </w:pPr>
      <w:r w:rsidRPr="002B7FA5">
        <w:t xml:space="preserve">bronchospasm </w:t>
      </w:r>
    </w:p>
    <w:p w:rsidR="00000000" w:rsidRPr="002B7FA5" w:rsidP="002B7FA5">
      <w:pPr>
        <w:pStyle w:val="ListBullet3"/>
      </w:pPr>
      <w:r w:rsidRPr="002B7FA5">
        <w:t xml:space="preserve">pneumothorax </w:t>
      </w:r>
    </w:p>
    <w:p w:rsidR="00000000" w:rsidRPr="002B7FA5" w:rsidP="002B7FA5">
      <w:pPr>
        <w:pStyle w:val="ListBullet3"/>
      </w:pPr>
      <w:r w:rsidRPr="002B7FA5">
        <w:t>laryngospasm</w:t>
      </w:r>
    </w:p>
    <w:p w:rsidR="00000000" w:rsidRPr="002B7FA5" w:rsidP="002B7FA5">
      <w:pPr>
        <w:pStyle w:val="ListBullet3"/>
      </w:pPr>
      <w:r w:rsidRPr="002B7FA5">
        <w:t>aspiration</w:t>
      </w:r>
    </w:p>
    <w:p w:rsidR="00000000" w:rsidRPr="002B7FA5" w:rsidP="002B7FA5">
      <w:pPr>
        <w:pStyle w:val="ListBullet2"/>
      </w:pPr>
      <w:r w:rsidRPr="002B7FA5">
        <w:t>cardiac emergencies:</w:t>
      </w:r>
    </w:p>
    <w:p w:rsidR="00000000" w:rsidRPr="002B7FA5" w:rsidP="002B7FA5">
      <w:pPr>
        <w:pStyle w:val="ListBullet3"/>
      </w:pPr>
      <w:r w:rsidRPr="002B7FA5">
        <w:t>ventricular fibrillation</w:t>
      </w:r>
    </w:p>
    <w:p w:rsidR="00000000" w:rsidRPr="002B7FA5" w:rsidP="002B7FA5">
      <w:pPr>
        <w:pStyle w:val="ListBullet3"/>
      </w:pPr>
      <w:r w:rsidRPr="002B7FA5">
        <w:t>ventricular tachycardia</w:t>
      </w:r>
    </w:p>
    <w:p w:rsidR="00000000" w:rsidRPr="002B7FA5" w:rsidP="002B7FA5">
      <w:pPr>
        <w:pStyle w:val="ListBullet3"/>
      </w:pPr>
      <w:r w:rsidRPr="002B7FA5">
        <w:t>pulseless electrical activity</w:t>
      </w:r>
    </w:p>
    <w:p w:rsidR="00000000" w:rsidRPr="002B7FA5" w:rsidP="002B7FA5">
      <w:pPr>
        <w:pStyle w:val="ListBullet3"/>
      </w:pPr>
      <w:r w:rsidRPr="002B7FA5">
        <w:t>asystole</w:t>
      </w:r>
    </w:p>
    <w:p w:rsidR="00000000" w:rsidRPr="002B7FA5" w:rsidP="002B7FA5">
      <w:pPr>
        <w:pStyle w:val="ListBullet3"/>
      </w:pPr>
      <w:r w:rsidRPr="002B7FA5">
        <w:t>third degree heart block</w:t>
      </w:r>
    </w:p>
    <w:p w:rsidR="00000000" w:rsidRPr="002B7FA5" w:rsidP="002B7FA5">
      <w:pPr>
        <w:pStyle w:val="ListBullet3"/>
      </w:pPr>
      <w:r w:rsidRPr="002B7FA5">
        <w:t>perioperative myocardial infarction</w:t>
      </w:r>
    </w:p>
    <w:p w:rsidR="00000000" w:rsidRPr="002B7FA5" w:rsidP="002B7FA5">
      <w:pPr>
        <w:pStyle w:val="ListBullet3"/>
      </w:pPr>
      <w:r w:rsidRPr="002B7FA5">
        <w:t>cardiac tamponade</w:t>
      </w:r>
    </w:p>
    <w:p w:rsidR="00000000" w:rsidRPr="002B7FA5" w:rsidP="002B7FA5">
      <w:pPr>
        <w:pStyle w:val="ListBullet2"/>
      </w:pPr>
      <w:r w:rsidRPr="002B7FA5">
        <w:t>malignant hyperthermia</w:t>
      </w:r>
    </w:p>
    <w:p w:rsidR="00000000" w:rsidRPr="002B7FA5" w:rsidP="002B7FA5">
      <w:pPr>
        <w:pStyle w:val="ListBullet2"/>
      </w:pPr>
      <w:r w:rsidRPr="002B7FA5">
        <w:t>hypothermia</w:t>
      </w:r>
    </w:p>
    <w:p w:rsidR="00000000" w:rsidRPr="002B7FA5" w:rsidP="002B7FA5">
      <w:pPr>
        <w:pStyle w:val="ListBullet2"/>
      </w:pPr>
      <w:r w:rsidRPr="002B7FA5">
        <w:t>hypovolaemic shock or massive haemorrhage</w:t>
      </w:r>
    </w:p>
    <w:p w:rsidR="00000000" w:rsidRPr="002B7FA5" w:rsidP="002B7FA5">
      <w:pPr>
        <w:pStyle w:val="ListBullet2"/>
      </w:pPr>
      <w:r w:rsidRPr="002B7FA5">
        <w:t>severe hypotension</w:t>
      </w:r>
    </w:p>
    <w:p w:rsidR="00000000" w:rsidRPr="002B7FA5" w:rsidP="002B7FA5">
      <w:pPr>
        <w:pStyle w:val="ListBullet2"/>
      </w:pPr>
      <w:r w:rsidRPr="002B7FA5">
        <w:t>severe hypertension</w:t>
      </w:r>
    </w:p>
    <w:p w:rsidR="00000000" w:rsidRPr="002B7FA5" w:rsidP="002B7FA5">
      <w:pPr>
        <w:pStyle w:val="ListBullet2"/>
      </w:pPr>
      <w:r w:rsidRPr="002B7FA5">
        <w:t>pulmonary hypertension</w:t>
      </w:r>
    </w:p>
    <w:p w:rsidR="00000000" w:rsidRPr="002B7FA5" w:rsidP="002B7FA5">
      <w:pPr>
        <w:pStyle w:val="ListBullet2"/>
      </w:pPr>
      <w:r w:rsidRPr="002B7FA5">
        <w:t>anaphylaxis</w:t>
      </w:r>
    </w:p>
    <w:p w:rsidR="00000000" w:rsidRPr="002B7FA5" w:rsidP="002B7FA5">
      <w:pPr>
        <w:pStyle w:val="ListBullet2"/>
      </w:pPr>
      <w:r w:rsidRPr="002B7FA5">
        <w:t>thromboembolism or pulmonary embolism including fat, thrombus, air or gas, amniotic fluid</w:t>
      </w:r>
    </w:p>
    <w:p w:rsidR="00000000" w:rsidRPr="002B7FA5" w:rsidP="002B7FA5">
      <w:pPr>
        <w:pStyle w:val="ListBullet2"/>
      </w:pPr>
      <w:r w:rsidRPr="002B7FA5">
        <w:t>local anaesthetic toxicity</w:t>
      </w:r>
    </w:p>
    <w:p w:rsidR="00000000" w:rsidRPr="002B7FA5" w:rsidP="002B7FA5">
      <w:pPr>
        <w:pStyle w:val="ListBullet2"/>
      </w:pPr>
      <w:r w:rsidRPr="002B7FA5">
        <w:t>total spinal</w:t>
      </w:r>
    </w:p>
    <w:p w:rsidR="00000000" w:rsidRPr="002B7FA5" w:rsidP="002B7FA5">
      <w:pPr>
        <w:pStyle w:val="ListBullet2"/>
      </w:pPr>
      <w:r w:rsidRPr="002B7FA5">
        <w:t xml:space="preserve">drug administration error and adverse drug reaction  </w:t>
      </w:r>
    </w:p>
    <w:p w:rsidR="00000000" w:rsidRPr="002B7FA5" w:rsidP="002B7FA5">
      <w:pPr>
        <w:pStyle w:val="ListBullet"/>
      </w:pPr>
      <w:r w:rsidRPr="002B7FA5">
        <w:t>follow established procedures for use of each of the following emergenc</w:t>
      </w:r>
      <w:r w:rsidRPr="002B7FA5">
        <w:t>y equipment and consumables on at least one occasion, including:</w:t>
      </w:r>
    </w:p>
    <w:p w:rsidR="00000000" w:rsidRPr="002B7FA5" w:rsidP="002B7FA5">
      <w:pPr>
        <w:pStyle w:val="ListBullet2"/>
      </w:pPr>
      <w:r w:rsidRPr="002B7FA5">
        <w:t xml:space="preserve">difficult airway trolley and other airway and suction equipment </w:t>
      </w:r>
    </w:p>
    <w:p w:rsidR="00000000" w:rsidRPr="002B7FA5" w:rsidP="002B7FA5">
      <w:pPr>
        <w:pStyle w:val="ListBullet2"/>
      </w:pPr>
      <w:r w:rsidRPr="002B7FA5">
        <w:t>cardiac arrest trolley and defibrillator</w:t>
      </w:r>
    </w:p>
    <w:p w:rsidR="00000000" w:rsidRPr="002B7FA5" w:rsidP="002B7FA5">
      <w:pPr>
        <w:pStyle w:val="ListBullet2"/>
      </w:pPr>
      <w:r w:rsidRPr="002B7FA5">
        <w:t>heating and cooling equipment</w:t>
      </w:r>
    </w:p>
    <w:p w:rsidR="00000000" w:rsidRPr="002B7FA5" w:rsidP="002B7FA5">
      <w:pPr>
        <w:pStyle w:val="ListBullet2"/>
      </w:pPr>
      <w:r w:rsidRPr="002B7FA5">
        <w:t>infusion or transfusion equipment</w:t>
      </w:r>
    </w:p>
    <w:p w:rsidR="00000000" w:rsidRPr="002B7FA5" w:rsidP="002B7FA5">
      <w:pPr>
        <w:pStyle w:val="ListBullet2"/>
      </w:pPr>
      <w:r w:rsidRPr="002B7FA5">
        <w:t>monitoring equipment</w:t>
      </w:r>
    </w:p>
    <w:p w:rsidR="00000000" w:rsidRPr="002B7FA5" w:rsidP="002B7FA5">
      <w:pPr>
        <w:pStyle w:val="ListBullet2"/>
      </w:pPr>
      <w:r w:rsidRPr="002B7FA5">
        <w:t>medications, fluids and therapeutic substances</w:t>
      </w:r>
    </w:p>
    <w:p w:rsidR="00000000" w:rsidRPr="002B7FA5" w:rsidP="002B7FA5">
      <w:pPr>
        <w:pStyle w:val="ListBullet2"/>
      </w:pPr>
      <w:r w:rsidRPr="002B7FA5">
        <w:t>chest drains</w:t>
      </w:r>
    </w:p>
    <w:p w:rsidR="00000000" w:rsidRPr="002B7FA5" w:rsidP="002B7FA5">
      <w:pPr>
        <w:pStyle w:val="ListBullet2"/>
      </w:pPr>
      <w:r w:rsidRPr="002B7FA5">
        <w:t>invasive access and invasive monitoring.</w:t>
      </w:r>
    </w:p>
    <w:p w:rsidR="00000000" w:rsidRPr="002B7FA5" w:rsidP="002B7FA5">
      <w:pPr>
        <w:pStyle w:val="AllowPageBreak"/>
      </w:pPr>
    </w:p>
    <w:p w:rsidR="00000000" w:rsidRPr="002B7FA5" w:rsidP="002B7FA5">
      <w:pPr>
        <w:pStyle w:val="Heading1"/>
      </w:pPr>
      <w:bookmarkStart w:id="12" w:name="O_1198959"/>
      <w:bookmarkEnd w:id="12"/>
      <w:r w:rsidRPr="002B7FA5">
        <w:t>Knowledge Evidence</w:t>
      </w:r>
    </w:p>
    <w:p w:rsidR="00000000" w:rsidRPr="002B7FA5" w:rsidP="006A4C22">
      <w:pPr>
        <w:pStyle w:val="BodyText"/>
      </w:pPr>
      <w:r w:rsidRPr="002B7FA5">
        <w:t>Demonstrated knowledge required to complete the tasks outlined in elements and performance criteria of this unit:</w:t>
      </w:r>
    </w:p>
    <w:p w:rsidR="00000000" w:rsidRPr="002B7FA5" w:rsidP="002B7FA5">
      <w:pPr>
        <w:pStyle w:val="ListBullet"/>
      </w:pPr>
      <w:r w:rsidRPr="002B7FA5">
        <w:t>l</w:t>
      </w:r>
      <w:r w:rsidRPr="002B7FA5">
        <w:t>egal and ethical considerations, national, state or territory, for emergencies, and how these are applied in organisations:</w:t>
      </w:r>
    </w:p>
    <w:p w:rsidR="00000000" w:rsidRPr="002B7FA5" w:rsidP="002B7FA5">
      <w:pPr>
        <w:pStyle w:val="ListBullet2"/>
      </w:pPr>
      <w:r w:rsidRPr="002B7FA5">
        <w:t>codes of practice</w:t>
      </w:r>
    </w:p>
    <w:p w:rsidR="00000000" w:rsidRPr="002B7FA5" w:rsidP="002B7FA5">
      <w:pPr>
        <w:pStyle w:val="ListBullet2"/>
      </w:pPr>
      <w:r w:rsidRPr="002B7FA5">
        <w:t>duty of care</w:t>
      </w:r>
    </w:p>
    <w:p w:rsidR="00000000" w:rsidRPr="002B7FA5" w:rsidP="002B7FA5">
      <w:pPr>
        <w:pStyle w:val="ListBullet2"/>
      </w:pPr>
      <w:r w:rsidRPr="002B7FA5">
        <w:t xml:space="preserve">infection prevention and control </w:t>
      </w:r>
    </w:p>
    <w:p w:rsidR="00000000" w:rsidRPr="002B7FA5" w:rsidP="002B7FA5">
      <w:pPr>
        <w:pStyle w:val="ListBullet2"/>
      </w:pPr>
      <w:r w:rsidRPr="002B7FA5">
        <w:t xml:space="preserve">informed consent </w:t>
      </w:r>
    </w:p>
    <w:p w:rsidR="00000000" w:rsidRPr="002B7FA5" w:rsidP="002B7FA5">
      <w:pPr>
        <w:pStyle w:val="ListBullet2"/>
      </w:pPr>
      <w:r w:rsidRPr="002B7FA5">
        <w:t xml:space="preserve">mandatory reporting </w:t>
      </w:r>
    </w:p>
    <w:p w:rsidR="00000000" w:rsidRPr="002B7FA5" w:rsidP="002B7FA5">
      <w:pPr>
        <w:pStyle w:val="ListBullet2"/>
      </w:pPr>
      <w:r w:rsidRPr="002B7FA5">
        <w:t>privacy, confidentiality and disclosure</w:t>
      </w:r>
    </w:p>
    <w:p w:rsidR="00000000" w:rsidRPr="002B7FA5" w:rsidP="002B7FA5">
      <w:pPr>
        <w:pStyle w:val="ListBullet2"/>
      </w:pPr>
      <w:r w:rsidRPr="002B7FA5">
        <w:t xml:space="preserve">records management </w:t>
      </w:r>
    </w:p>
    <w:p w:rsidR="00000000" w:rsidRPr="002B7FA5" w:rsidP="002B7FA5">
      <w:pPr>
        <w:pStyle w:val="ListBullet2"/>
      </w:pPr>
      <w:r w:rsidRPr="002B7FA5">
        <w:t>rights and responsibilities of workers, employers and patients</w:t>
      </w:r>
    </w:p>
    <w:p w:rsidR="00000000" w:rsidRPr="002B7FA5" w:rsidP="002B7FA5">
      <w:pPr>
        <w:pStyle w:val="ListBullet2"/>
      </w:pPr>
      <w:r w:rsidRPr="002B7FA5">
        <w:t>work role boundaries including responsibilities and limitations in emergencies</w:t>
      </w:r>
    </w:p>
    <w:p w:rsidR="00000000" w:rsidRPr="002B7FA5" w:rsidP="002B7FA5">
      <w:pPr>
        <w:pStyle w:val="ListBullet2"/>
      </w:pPr>
      <w:r w:rsidRPr="002B7FA5">
        <w:t>work health and safety</w:t>
      </w:r>
    </w:p>
    <w:p w:rsidR="00000000" w:rsidRPr="002B7FA5" w:rsidP="002B7FA5">
      <w:pPr>
        <w:pStyle w:val="ListBullet"/>
      </w:pPr>
      <w:r w:rsidRPr="002B7FA5">
        <w:t>the following anaesthetic emer</w:t>
      </w:r>
      <w:r w:rsidRPr="002B7FA5">
        <w:t>gencies, their signs, symptoms, physiological and non-physiological causes, treatment or resolution and prediction:</w:t>
      </w:r>
    </w:p>
    <w:p w:rsidR="00000000" w:rsidRPr="002B7FA5" w:rsidP="002B7FA5">
      <w:pPr>
        <w:pStyle w:val="ListBullet2"/>
      </w:pPr>
      <w:r w:rsidRPr="002B7FA5">
        <w:t>respiratory or airway emergencies:</w:t>
      </w:r>
    </w:p>
    <w:p w:rsidR="00000000" w:rsidRPr="002B7FA5" w:rsidP="002B7FA5">
      <w:pPr>
        <w:pStyle w:val="ListBullet3"/>
      </w:pPr>
      <w:r w:rsidRPr="002B7FA5">
        <w:t>difficult or compromised airway</w:t>
      </w:r>
    </w:p>
    <w:p w:rsidR="00000000" w:rsidRPr="002B7FA5" w:rsidP="002B7FA5">
      <w:pPr>
        <w:pStyle w:val="ListBullet3"/>
      </w:pPr>
      <w:r w:rsidRPr="002B7FA5">
        <w:t>airway fires</w:t>
      </w:r>
    </w:p>
    <w:p w:rsidR="00000000" w:rsidRPr="002B7FA5" w:rsidP="002B7FA5">
      <w:pPr>
        <w:pStyle w:val="ListBullet3"/>
      </w:pPr>
      <w:r w:rsidRPr="002B7FA5">
        <w:t>can’t intubate can’t oxygenate (CICO)</w:t>
      </w:r>
    </w:p>
    <w:p w:rsidR="00000000" w:rsidRPr="002B7FA5" w:rsidP="002B7FA5">
      <w:pPr>
        <w:pStyle w:val="ListBullet3"/>
      </w:pPr>
      <w:r w:rsidRPr="002B7FA5">
        <w:t xml:space="preserve">bronchospasm </w:t>
      </w:r>
    </w:p>
    <w:p w:rsidR="00000000" w:rsidRPr="002B7FA5" w:rsidP="002B7FA5">
      <w:pPr>
        <w:pStyle w:val="ListBullet3"/>
      </w:pPr>
      <w:r w:rsidRPr="002B7FA5">
        <w:t xml:space="preserve">pneumothorax </w:t>
      </w:r>
    </w:p>
    <w:p w:rsidR="00000000" w:rsidRPr="002B7FA5" w:rsidP="002B7FA5">
      <w:pPr>
        <w:pStyle w:val="ListBullet3"/>
      </w:pPr>
      <w:r w:rsidRPr="002B7FA5">
        <w:t>laryngospasm</w:t>
      </w:r>
    </w:p>
    <w:p w:rsidR="00000000" w:rsidRPr="002B7FA5" w:rsidP="002B7FA5">
      <w:pPr>
        <w:pStyle w:val="ListBullet3"/>
      </w:pPr>
      <w:r w:rsidRPr="002B7FA5">
        <w:t>aspiration</w:t>
      </w:r>
    </w:p>
    <w:p w:rsidR="00000000" w:rsidRPr="002B7FA5" w:rsidP="002B7FA5">
      <w:pPr>
        <w:pStyle w:val="ListBullet3"/>
      </w:pPr>
      <w:r w:rsidRPr="002B7FA5">
        <w:t>suxamethonium apnoea</w:t>
      </w:r>
    </w:p>
    <w:p w:rsidR="00000000" w:rsidRPr="002B7FA5" w:rsidP="002B7FA5">
      <w:pPr>
        <w:pStyle w:val="ListBullet3"/>
      </w:pPr>
      <w:r w:rsidRPr="002B7FA5">
        <w:t>hypoxia or hypoxaemia</w:t>
      </w:r>
    </w:p>
    <w:p w:rsidR="00000000" w:rsidRPr="002B7FA5" w:rsidP="002B7FA5">
      <w:pPr>
        <w:pStyle w:val="ListBullet3"/>
      </w:pPr>
      <w:r w:rsidRPr="002B7FA5">
        <w:t>hypercarbia</w:t>
      </w:r>
    </w:p>
    <w:p w:rsidR="00000000" w:rsidRPr="002B7FA5" w:rsidP="002B7FA5">
      <w:pPr>
        <w:pStyle w:val="ListBullet3"/>
      </w:pPr>
      <w:r w:rsidRPr="002B7FA5">
        <w:t>anaphylaxis</w:t>
      </w:r>
    </w:p>
    <w:p w:rsidR="00000000" w:rsidRPr="002B7FA5" w:rsidP="002B7FA5">
      <w:pPr>
        <w:pStyle w:val="ListBullet2"/>
      </w:pPr>
      <w:r w:rsidRPr="002B7FA5">
        <w:t>cardiac emergencies:</w:t>
      </w:r>
    </w:p>
    <w:p w:rsidR="00000000" w:rsidRPr="002B7FA5" w:rsidP="002B7FA5">
      <w:pPr>
        <w:pStyle w:val="ListBullet3"/>
      </w:pPr>
      <w:r w:rsidRPr="002B7FA5">
        <w:t>ventricular fibrillation</w:t>
      </w:r>
    </w:p>
    <w:p w:rsidR="00000000" w:rsidRPr="002B7FA5" w:rsidP="002B7FA5">
      <w:pPr>
        <w:pStyle w:val="ListBullet3"/>
      </w:pPr>
      <w:r w:rsidRPr="002B7FA5">
        <w:t>ventricular tachycardia</w:t>
      </w:r>
    </w:p>
    <w:p w:rsidR="00000000" w:rsidRPr="002B7FA5" w:rsidP="002B7FA5">
      <w:pPr>
        <w:pStyle w:val="ListBullet3"/>
      </w:pPr>
      <w:r w:rsidRPr="002B7FA5">
        <w:t>pulseless electrical activity</w:t>
      </w:r>
    </w:p>
    <w:p w:rsidR="00000000" w:rsidRPr="002B7FA5" w:rsidP="002B7FA5">
      <w:pPr>
        <w:pStyle w:val="ListBullet3"/>
      </w:pPr>
      <w:r w:rsidRPr="002B7FA5">
        <w:t>asystole</w:t>
      </w:r>
    </w:p>
    <w:p w:rsidR="00000000" w:rsidRPr="002B7FA5" w:rsidP="002B7FA5">
      <w:pPr>
        <w:pStyle w:val="ListBullet3"/>
      </w:pPr>
      <w:r w:rsidRPr="002B7FA5">
        <w:t>third degree heart block</w:t>
      </w:r>
    </w:p>
    <w:p w:rsidR="00000000" w:rsidRPr="002B7FA5" w:rsidP="002B7FA5">
      <w:pPr>
        <w:pStyle w:val="ListBullet3"/>
      </w:pPr>
      <w:r w:rsidRPr="002B7FA5">
        <w:t>cardiac arrhythmias which pose threat to life for individual patients</w:t>
      </w:r>
    </w:p>
    <w:p w:rsidR="00000000" w:rsidRPr="002B7FA5" w:rsidP="002B7FA5">
      <w:pPr>
        <w:pStyle w:val="ListBullet3"/>
      </w:pPr>
      <w:r w:rsidRPr="002B7FA5">
        <w:t>perioperative myocardial infarctions</w:t>
      </w:r>
    </w:p>
    <w:p w:rsidR="00000000" w:rsidRPr="002B7FA5" w:rsidP="002B7FA5">
      <w:pPr>
        <w:pStyle w:val="ListBullet3"/>
      </w:pPr>
      <w:r w:rsidRPr="002B7FA5">
        <w:t>cardiac tamponade</w:t>
      </w:r>
    </w:p>
    <w:p w:rsidR="00000000" w:rsidRPr="002B7FA5" w:rsidP="002B7FA5">
      <w:pPr>
        <w:pStyle w:val="ListBullet2"/>
      </w:pPr>
      <w:r w:rsidRPr="002B7FA5">
        <w:t>malignant hyperthermia</w:t>
      </w:r>
    </w:p>
    <w:p w:rsidR="00000000" w:rsidRPr="002B7FA5" w:rsidP="002B7FA5">
      <w:pPr>
        <w:pStyle w:val="ListBullet2"/>
      </w:pPr>
      <w:r w:rsidRPr="002B7FA5">
        <w:t>hypothermia</w:t>
      </w:r>
    </w:p>
    <w:p w:rsidR="00000000" w:rsidRPr="002B7FA5" w:rsidP="002B7FA5">
      <w:pPr>
        <w:pStyle w:val="ListBullet2"/>
      </w:pPr>
      <w:r w:rsidRPr="002B7FA5">
        <w:t>hypovolaemic shock or massive haemorrhage</w:t>
      </w:r>
    </w:p>
    <w:p w:rsidR="00000000" w:rsidRPr="002B7FA5" w:rsidP="002B7FA5">
      <w:pPr>
        <w:pStyle w:val="ListBullet2"/>
      </w:pPr>
      <w:r w:rsidRPr="002B7FA5">
        <w:t>severe hypotension</w:t>
      </w:r>
    </w:p>
    <w:p w:rsidR="00000000" w:rsidRPr="002B7FA5" w:rsidP="002B7FA5">
      <w:pPr>
        <w:pStyle w:val="ListBullet2"/>
      </w:pPr>
      <w:r w:rsidRPr="002B7FA5">
        <w:t>severe hypertension</w:t>
      </w:r>
    </w:p>
    <w:p w:rsidR="00000000" w:rsidRPr="002B7FA5" w:rsidP="002B7FA5">
      <w:pPr>
        <w:pStyle w:val="ListBullet2"/>
      </w:pPr>
      <w:r w:rsidRPr="002B7FA5">
        <w:t>pulmonary hype</w:t>
      </w:r>
      <w:r w:rsidRPr="002B7FA5">
        <w:t>rtension</w:t>
      </w:r>
    </w:p>
    <w:p w:rsidR="00000000" w:rsidRPr="002B7FA5" w:rsidP="002B7FA5">
      <w:pPr>
        <w:pStyle w:val="ListBullet2"/>
      </w:pPr>
      <w:r w:rsidRPr="002B7FA5">
        <w:t xml:space="preserve">anaphylaxis </w:t>
      </w:r>
    </w:p>
    <w:p w:rsidR="00000000" w:rsidRPr="002B7FA5" w:rsidP="002B7FA5">
      <w:pPr>
        <w:pStyle w:val="ListBullet2"/>
      </w:pPr>
      <w:r w:rsidRPr="002B7FA5">
        <w:t>thromboembolism or pulmonary embolism including fat, thrombus, air or gas, amniotic fluid</w:t>
      </w:r>
    </w:p>
    <w:p w:rsidR="00000000" w:rsidRPr="002B7FA5" w:rsidP="002B7FA5">
      <w:pPr>
        <w:pStyle w:val="ListBullet2"/>
      </w:pPr>
      <w:r w:rsidRPr="002B7FA5">
        <w:t>pulmonary oedema</w:t>
      </w:r>
    </w:p>
    <w:p w:rsidR="00000000" w:rsidRPr="002B7FA5" w:rsidP="002B7FA5">
      <w:pPr>
        <w:pStyle w:val="ListBullet2"/>
      </w:pPr>
      <w:r w:rsidRPr="002B7FA5">
        <w:t>local anaesthetic toxicity</w:t>
      </w:r>
    </w:p>
    <w:p w:rsidR="00000000" w:rsidRPr="002B7FA5" w:rsidP="002B7FA5">
      <w:pPr>
        <w:pStyle w:val="ListBullet2"/>
      </w:pPr>
      <w:r w:rsidRPr="002B7FA5">
        <w:t>total spinal</w:t>
      </w:r>
    </w:p>
    <w:p w:rsidR="00000000" w:rsidRPr="002B7FA5" w:rsidP="002B7FA5">
      <w:pPr>
        <w:pStyle w:val="ListBullet2"/>
      </w:pPr>
      <w:r w:rsidRPr="002B7FA5">
        <w:t>diabetes</w:t>
      </w:r>
    </w:p>
    <w:p w:rsidR="00000000" w:rsidRPr="002B7FA5" w:rsidP="002B7FA5">
      <w:pPr>
        <w:pStyle w:val="ListBullet2"/>
      </w:pPr>
      <w:r w:rsidRPr="002B7FA5">
        <w:t>metabolic and endocrine abnormalities</w:t>
      </w:r>
    </w:p>
    <w:p w:rsidR="00000000" w:rsidRPr="002B7FA5" w:rsidP="002B7FA5">
      <w:pPr>
        <w:pStyle w:val="ListBullet2"/>
      </w:pPr>
      <w:r w:rsidRPr="002B7FA5">
        <w:t xml:space="preserve">drug administration error and adverse drug reaction  </w:t>
      </w:r>
    </w:p>
    <w:p w:rsidR="00000000" w:rsidRPr="002B7FA5" w:rsidP="002B7FA5">
      <w:pPr>
        <w:pStyle w:val="ListBullet2"/>
      </w:pPr>
      <w:r w:rsidRPr="002B7FA5">
        <w:t>septic shower</w:t>
      </w:r>
    </w:p>
    <w:p w:rsidR="00000000" w:rsidRPr="002B7FA5" w:rsidP="002B7FA5">
      <w:pPr>
        <w:pStyle w:val="ListBullet2"/>
      </w:pPr>
      <w:r w:rsidRPr="002B7FA5">
        <w:t>thyroid storm</w:t>
      </w:r>
    </w:p>
    <w:p w:rsidR="00000000" w:rsidRPr="002B7FA5" w:rsidP="002B7FA5">
      <w:pPr>
        <w:pStyle w:val="ListBullet"/>
      </w:pPr>
      <w:r w:rsidRPr="002B7FA5">
        <w:t>external emergencies including equipment failure, equipment and consumable supply shortage, weather events, fire and power outage</w:t>
      </w:r>
    </w:p>
    <w:p w:rsidR="00000000" w:rsidRPr="002B7FA5" w:rsidP="002B7FA5">
      <w:pPr>
        <w:pStyle w:val="ListBullet"/>
      </w:pPr>
      <w:r w:rsidRPr="002B7FA5">
        <w:t>algorithms used to escalate anaesthetic eme</w:t>
      </w:r>
      <w:r w:rsidRPr="002B7FA5">
        <w:t>rgencies</w:t>
      </w:r>
    </w:p>
    <w:p w:rsidR="00000000" w:rsidRPr="002B7FA5" w:rsidP="002B7FA5">
      <w:pPr>
        <w:pStyle w:val="ListBullet"/>
      </w:pPr>
      <w:r w:rsidRPr="002B7FA5">
        <w:t>crisis resource management (CRM) basic principles including internal and external crisis sources</w:t>
      </w:r>
    </w:p>
    <w:p w:rsidR="00000000" w:rsidRPr="002B7FA5" w:rsidP="002B7FA5">
      <w:pPr>
        <w:pStyle w:val="ListBullet"/>
      </w:pPr>
      <w:r w:rsidRPr="002B7FA5">
        <w:t>methods, principles and procedures for dealing with emergencies, including:</w:t>
      </w:r>
    </w:p>
    <w:p w:rsidR="00000000" w:rsidRPr="002B7FA5" w:rsidP="002B7FA5">
      <w:pPr>
        <w:pStyle w:val="ListBullet2"/>
      </w:pPr>
      <w:r w:rsidRPr="002B7FA5">
        <w:t>problem solving techniques</w:t>
      </w:r>
    </w:p>
    <w:p w:rsidR="00000000" w:rsidRPr="002B7FA5" w:rsidP="002B7FA5">
      <w:pPr>
        <w:pStyle w:val="ListBullet2"/>
      </w:pPr>
      <w:r w:rsidRPr="002B7FA5">
        <w:t xml:space="preserve">graded assertiveness </w:t>
      </w:r>
    </w:p>
    <w:p w:rsidR="00000000" w:rsidRPr="002B7FA5" w:rsidP="002B7FA5">
      <w:pPr>
        <w:pStyle w:val="ListBullet2"/>
      </w:pPr>
      <w:r w:rsidRPr="002B7FA5">
        <w:t>crisis communication principles</w:t>
      </w:r>
    </w:p>
    <w:p w:rsidR="00000000" w:rsidRPr="002B7FA5" w:rsidP="002B7FA5">
      <w:pPr>
        <w:pStyle w:val="ListBullet2"/>
      </w:pPr>
      <w:r w:rsidRPr="002B7FA5">
        <w:t>clinical handover</w:t>
      </w:r>
    </w:p>
    <w:p w:rsidR="00000000" w:rsidRPr="002B7FA5" w:rsidP="002B7FA5">
      <w:pPr>
        <w:pStyle w:val="ListBullet2"/>
      </w:pPr>
      <w:r w:rsidRPr="002B7FA5">
        <w:t>multidisciplinary team structure and functions</w:t>
      </w:r>
    </w:p>
    <w:p w:rsidR="00000000" w:rsidRPr="002B7FA5" w:rsidP="002B7FA5">
      <w:pPr>
        <w:pStyle w:val="ListBullet2"/>
      </w:pPr>
      <w:r w:rsidRPr="002B7FA5">
        <w:t>situation monitoring or situational awareness</w:t>
      </w:r>
    </w:p>
    <w:p w:rsidR="00000000" w:rsidRPr="002B7FA5" w:rsidP="002B7FA5">
      <w:pPr>
        <w:pStyle w:val="ListBullet2"/>
      </w:pPr>
      <w:r w:rsidRPr="002B7FA5">
        <w:t>massive transfusion protocol</w:t>
      </w:r>
    </w:p>
    <w:p w:rsidR="00000000" w:rsidRPr="002B7FA5" w:rsidP="002B7FA5">
      <w:pPr>
        <w:pStyle w:val="ListBullet2"/>
      </w:pPr>
      <w:r w:rsidRPr="002B7FA5">
        <w:t>Australian Resuscitation Council (ARC) guidelines</w:t>
      </w:r>
    </w:p>
    <w:p w:rsidR="00000000" w:rsidRPr="002B7FA5" w:rsidP="002B7FA5">
      <w:pPr>
        <w:pStyle w:val="ListBullet2"/>
      </w:pPr>
      <w:r w:rsidRPr="002B7FA5">
        <w:t>Australian and New Zealand College</w:t>
      </w:r>
      <w:r w:rsidRPr="002B7FA5">
        <w:t xml:space="preserve"> of Anaesthetists (ANZCA) Anaphylaxis guidelines</w:t>
      </w:r>
    </w:p>
    <w:p w:rsidR="00000000" w:rsidRPr="002B7FA5" w:rsidP="002B7FA5">
      <w:pPr>
        <w:pStyle w:val="ListBullet2"/>
      </w:pPr>
      <w:r w:rsidRPr="002B7FA5">
        <w:t>ANZCA Malignant hyperthermia guidelines</w:t>
      </w:r>
    </w:p>
    <w:p w:rsidR="00000000" w:rsidRPr="002B7FA5" w:rsidP="002B7FA5">
      <w:pPr>
        <w:pStyle w:val="ListBullet2"/>
      </w:pPr>
      <w:r w:rsidRPr="002B7FA5">
        <w:t>Vortex Approach for airway management</w:t>
      </w:r>
    </w:p>
    <w:p w:rsidR="00000000" w:rsidRPr="002B7FA5" w:rsidP="002B7FA5">
      <w:pPr>
        <w:pStyle w:val="ListBullet2"/>
      </w:pPr>
      <w:r w:rsidRPr="002B7FA5">
        <w:t>Difficult Airway Society guidelines or ANZCA guidelines for the management of Evolving Airway Obstruction: Transition to the CICO</w:t>
      </w:r>
      <w:r w:rsidRPr="002B7FA5">
        <w:t xml:space="preserve"> airway emergency</w:t>
      </w:r>
    </w:p>
    <w:p w:rsidR="00000000" w:rsidRPr="002B7FA5" w:rsidP="002B7FA5">
      <w:pPr>
        <w:pStyle w:val="ListBullet"/>
      </w:pPr>
      <w:r w:rsidRPr="002B7FA5">
        <w:t>features, functions and safe use of emergency equipment</w:t>
      </w:r>
    </w:p>
    <w:p w:rsidR="00000000" w:rsidRPr="002B7FA5" w:rsidP="002B7FA5">
      <w:pPr>
        <w:pStyle w:val="ListBullet"/>
      </w:pPr>
      <w:r w:rsidRPr="002B7FA5">
        <w:t>emergency drug, fluid and therapeutic substance administration:</w:t>
      </w:r>
    </w:p>
    <w:p w:rsidR="00000000" w:rsidRPr="002B7FA5" w:rsidP="002B7FA5">
      <w:pPr>
        <w:pStyle w:val="ListBullet2"/>
      </w:pPr>
      <w:r w:rsidRPr="002B7FA5">
        <w:t>equipment</w:t>
      </w:r>
    </w:p>
    <w:p w:rsidR="00000000" w:rsidRPr="002B7FA5" w:rsidP="002B7FA5">
      <w:pPr>
        <w:pStyle w:val="ListBullet2"/>
      </w:pPr>
      <w:r w:rsidRPr="002B7FA5">
        <w:t>routes of administration in anaesthesia context</w:t>
      </w:r>
    </w:p>
    <w:p w:rsidR="00000000" w:rsidRPr="002B7FA5" w:rsidP="002B7FA5">
      <w:pPr>
        <w:pStyle w:val="ListBullet2"/>
      </w:pPr>
      <w:r w:rsidRPr="002B7FA5">
        <w:t>types, functions and</w:t>
      </w:r>
      <w:r w:rsidRPr="002B7FA5">
        <w:t xml:space="preserve"> effects of different drugs, fluids and therapeutic substances</w:t>
      </w:r>
    </w:p>
    <w:p w:rsidR="00000000" w:rsidRPr="002B7FA5" w:rsidP="002B7FA5">
      <w:pPr>
        <w:pStyle w:val="ListBullet2"/>
      </w:pPr>
      <w:r w:rsidRPr="002B7FA5">
        <w:t>legislation and protocols.</w:t>
      </w:r>
    </w:p>
    <w:p w:rsidR="00000000" w:rsidRPr="002B7FA5" w:rsidP="002B7FA5">
      <w:pPr>
        <w:pStyle w:val="AllowPageBreak"/>
      </w:pPr>
    </w:p>
    <w:p w:rsidR="00000000" w:rsidRPr="002B7FA5" w:rsidP="002B7FA5">
      <w:pPr>
        <w:pStyle w:val="Heading1"/>
      </w:pPr>
      <w:bookmarkStart w:id="13" w:name="O_1198960"/>
      <w:bookmarkEnd w:id="13"/>
      <w:r w:rsidRPr="002B7FA5">
        <w:t>Assessment Conditions</w:t>
      </w:r>
    </w:p>
    <w:p w:rsidR="00000000" w:rsidRPr="002B7FA5" w:rsidP="006A4C22">
      <w:pPr>
        <w:pStyle w:val="BodyText"/>
      </w:pPr>
      <w:r w:rsidRPr="002B7FA5">
        <w:t xml:space="preserve">Skills must be demonstrated in the workplace or in a simulated environment that reflects workplace conditions. </w:t>
      </w:r>
    </w:p>
    <w:p w:rsidR="00000000" w:rsidRPr="002B7FA5" w:rsidP="006A4C22">
      <w:pPr>
        <w:pStyle w:val="BodyText"/>
      </w:pPr>
      <w:r w:rsidRPr="002B7FA5">
        <w:t>Assessment mu</w:t>
      </w:r>
      <w:r w:rsidRPr="002B7FA5">
        <w:t>st ensure access to:</w:t>
      </w:r>
    </w:p>
    <w:p w:rsidR="00000000" w:rsidRPr="002B7FA5" w:rsidP="002B7FA5">
      <w:pPr>
        <w:pStyle w:val="ListBullet"/>
      </w:pPr>
      <w:r w:rsidRPr="002B7FA5">
        <w:t xml:space="preserve">use of suitable facilities, equipment and resources, including those to simulate management of all emergencies identified in the Performance Evidence </w:t>
      </w:r>
    </w:p>
    <w:p w:rsidR="00000000" w:rsidRPr="002B7FA5" w:rsidP="002B7FA5">
      <w:pPr>
        <w:pStyle w:val="ListBullet"/>
      </w:pPr>
      <w:r w:rsidRPr="002B7FA5">
        <w:t>modelling of industry operating conditions, including presence of situations requir</w:t>
      </w:r>
      <w:r w:rsidRPr="002B7FA5">
        <w:t>ing problem solving in non-routine situations.</w:t>
      </w:r>
    </w:p>
    <w:p w:rsidR="00000000" w:rsidRPr="002B7FA5" w:rsidP="006A4C22">
      <w:pPr>
        <w:pStyle w:val="BodyText"/>
      </w:pPr>
      <w:r w:rsidRPr="002B7FA5">
        <w:t>Assessors must satisfy the Standards for Registered Training Organisations’ requirements for assessors.</w:t>
      </w:r>
    </w:p>
    <w:p w:rsidR="00000000" w:rsidRPr="002B7FA5" w:rsidP="002B7FA5">
      <w:pPr>
        <w:pStyle w:val="Heading1"/>
      </w:pPr>
      <w:bookmarkStart w:id="14" w:name="O_1198963"/>
      <w:bookmarkEnd w:id="14"/>
      <w:r w:rsidRPr="002B7FA5">
        <w:t>Links</w:t>
      </w:r>
    </w:p>
    <w:p w:rsidR="00000000" w:rsidRPr="002B7FA5" w:rsidP="006A4C22">
      <w:pPr>
        <w:pStyle w:val="BodyText"/>
      </w:pPr>
      <w:r w:rsidRPr="002B7FA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38194C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2B7FA5" w:rsidP="002B7FA5"/>
    <w:sectPr w:rsidSect="002B7F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A5" w:rsidRPr="006A4C22" w:rsidP="006A4C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22" w:rsidP="002B7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A4C22" w:rsidP="002B7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6A4C22" w:rsidP="002B7F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A5" w:rsidP="002B7F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A4C22">
      <w:t>Approved</w:t>
    </w:r>
    <w:r w:rsidR="006A4C2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A4C2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A4C22">
      <w:rPr>
        <w:noProof/>
      </w:rPr>
      <w:t>5</w:t>
    </w:r>
    <w:r>
      <w:rPr>
        <w:noProof/>
      </w:rPr>
      <w:fldChar w:fldCharType="end"/>
    </w:r>
  </w:p>
  <w:p w:rsidR="002B7FA5" w:rsidP="002B7F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A4C2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A4C22">
      <w:t>HumanAbility</w:t>
    </w:r>
    <w:r w:rsidR="006A4C22">
      <w:fldChar w:fldCharType="end"/>
    </w:r>
  </w:p>
  <w:p w:rsidR="002B7FA5" w:rsidP="002B7F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7FA5" w:rsidRPr="006A4C22" w:rsidP="006A4C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4C22" w:rsidRPr="002D2AF8" w:rsidP="002B7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HLTANA011 Respond to anaesthesia related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A4C22" w:rsidP="002B7F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FA5" w:rsidRPr="002D2AF8" w:rsidP="002B7F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A4C22">
      <w:t>HLTANA011 Respond to anaesthesia related emergencies</w:t>
    </w:r>
    <w:r w:rsidR="006A4C2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A4C22">
      <w:rPr>
        <w:noProof/>
      </w:rPr>
      <w:t>1 March 2025</w:t>
    </w:r>
    <w:r>
      <w:fldChar w:fldCharType="end"/>
    </w:r>
  </w:p>
  <w:p w:rsidR="002B7FA5" w:rsidP="002B7F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26E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489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ACF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7F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7F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7F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7F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7F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7F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7F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7F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7F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7F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7F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7FA5"/>
  </w:style>
  <w:style w:type="character" w:customStyle="1" w:styleId="Heading1Char">
    <w:name w:val="Heading 1 Char"/>
    <w:basedOn w:val="DefaultParagraphFont"/>
    <w:link w:val="Heading1"/>
    <w:rsid w:val="002B7F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7F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7FA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7FA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7FA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7FA5"/>
    <w:rPr>
      <w:b/>
      <w:spacing w:val="0"/>
    </w:rPr>
  </w:style>
  <w:style w:type="paragraph" w:styleId="ListBullet2">
    <w:name w:val="List Bullet 2"/>
    <w:basedOn w:val="List2"/>
    <w:rsid w:val="002B7FA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7FA5"/>
    <w:rPr>
      <w:i/>
    </w:rPr>
  </w:style>
  <w:style w:type="paragraph" w:customStyle="1" w:styleId="SuperHeading">
    <w:name w:val="SuperHeading"/>
    <w:basedOn w:val="Normal"/>
    <w:rsid w:val="002B7F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7F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7FA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7F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7F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7F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7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7F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7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7F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7F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7F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7F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7F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7F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7F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7F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7F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7F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7F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7FA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7F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7F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7F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7F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7F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7F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7F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7F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7F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7F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7F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7F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7F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7F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7F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7F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7FA5"/>
  </w:style>
  <w:style w:type="paragraph" w:styleId="TableofFigures">
    <w:name w:val="table of figures"/>
    <w:basedOn w:val="Normal"/>
    <w:next w:val="Normal"/>
    <w:semiHidden/>
    <w:rsid w:val="002B7F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7FA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7FA5"/>
    <w:rPr>
      <w:rFonts w:ascii="Wingdings" w:hAnsi="Wingdings"/>
    </w:rPr>
  </w:style>
  <w:style w:type="paragraph" w:customStyle="1" w:styleId="TableHeading">
    <w:name w:val="Table Heading"/>
    <w:basedOn w:val="HeadingBase"/>
    <w:rsid w:val="002B7F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7FA5"/>
    <w:rPr>
      <w:color w:val="0033CC"/>
      <w:u w:val="none"/>
    </w:rPr>
  </w:style>
  <w:style w:type="paragraph" w:customStyle="1" w:styleId="BodyTextRight">
    <w:name w:val="Body Text Right"/>
    <w:basedOn w:val="BodyText"/>
    <w:rsid w:val="002B7F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7F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7FA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7F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7F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7F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7FA5"/>
    <w:rPr>
      <w:sz w:val="32"/>
    </w:rPr>
  </w:style>
  <w:style w:type="paragraph" w:customStyle="1" w:styleId="HeadingProcedure">
    <w:name w:val="Heading Procedure"/>
    <w:basedOn w:val="HeadingBase"/>
    <w:next w:val="Normal"/>
    <w:rsid w:val="002B7F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7FA5"/>
    <w:pPr>
      <w:spacing w:before="60" w:after="60"/>
    </w:pPr>
  </w:style>
  <w:style w:type="paragraph" w:styleId="ListContinue">
    <w:name w:val="List Continue"/>
    <w:basedOn w:val="List"/>
    <w:rsid w:val="002B7FA5"/>
    <w:pPr>
      <w:ind w:firstLine="0"/>
    </w:pPr>
  </w:style>
  <w:style w:type="paragraph" w:customStyle="1" w:styleId="ListNote">
    <w:name w:val="List Note"/>
    <w:basedOn w:val="List"/>
    <w:rsid w:val="002B7F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7F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7F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7FA5"/>
    <w:rPr>
      <w:rFonts w:ascii="Courier New" w:hAnsi="Courier New"/>
    </w:rPr>
  </w:style>
  <w:style w:type="paragraph" w:customStyle="1" w:styleId="NoteBullet">
    <w:name w:val="Note Bullet"/>
    <w:basedOn w:val="Note"/>
    <w:rsid w:val="002B7F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7F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7F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7F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7FA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7F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7F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7FA5"/>
    <w:rPr>
      <w:b/>
      <w:smallCaps/>
    </w:rPr>
  </w:style>
  <w:style w:type="paragraph" w:customStyle="1" w:styleId="TableListNumber">
    <w:name w:val="Table List Number"/>
    <w:basedOn w:val="ListNumber"/>
    <w:rsid w:val="002B7F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7F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7FA5"/>
    <w:pPr>
      <w:numPr>
        <w:numId w:val="10"/>
      </w:numPr>
    </w:pPr>
  </w:style>
  <w:style w:type="paragraph" w:customStyle="1" w:styleId="ListAlpha2">
    <w:name w:val="List Alpha 2"/>
    <w:basedOn w:val="List2"/>
    <w:rsid w:val="002B7FA5"/>
    <w:pPr>
      <w:numPr>
        <w:numId w:val="9"/>
      </w:numPr>
    </w:pPr>
  </w:style>
  <w:style w:type="paragraph" w:styleId="List2">
    <w:name w:val="List 2"/>
    <w:basedOn w:val="BodyText"/>
    <w:rsid w:val="002B7F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7F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7F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7FA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7FA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7FA5"/>
    <w:pPr>
      <w:numPr>
        <w:numId w:val="5"/>
      </w:numPr>
    </w:pPr>
  </w:style>
  <w:style w:type="paragraph" w:styleId="ListContinue2">
    <w:name w:val="List Continue 2"/>
    <w:basedOn w:val="List2"/>
    <w:rsid w:val="002B7FA5"/>
    <w:pPr>
      <w:ind w:firstLine="0"/>
    </w:pPr>
  </w:style>
  <w:style w:type="paragraph" w:styleId="ListContinue3">
    <w:name w:val="List Continue 3"/>
    <w:basedOn w:val="List3"/>
    <w:rsid w:val="002B7FA5"/>
    <w:pPr>
      <w:ind w:left="1021" w:firstLine="0"/>
    </w:pPr>
  </w:style>
  <w:style w:type="paragraph" w:styleId="ListContinue4">
    <w:name w:val="List Continue 4"/>
    <w:basedOn w:val="List4"/>
    <w:rsid w:val="002B7FA5"/>
    <w:pPr>
      <w:ind w:firstLine="0"/>
    </w:pPr>
  </w:style>
  <w:style w:type="paragraph" w:styleId="ListContinue5">
    <w:name w:val="List Continue 5"/>
    <w:basedOn w:val="List5"/>
    <w:rsid w:val="002B7FA5"/>
    <w:pPr>
      <w:ind w:firstLine="0"/>
    </w:pPr>
  </w:style>
  <w:style w:type="paragraph" w:styleId="ListNumber3">
    <w:name w:val="List Number 3"/>
    <w:basedOn w:val="List3"/>
    <w:rsid w:val="002B7FA5"/>
    <w:pPr>
      <w:numPr>
        <w:numId w:val="6"/>
      </w:numPr>
    </w:pPr>
  </w:style>
  <w:style w:type="paragraph" w:styleId="ListNumber4">
    <w:name w:val="List Number 4"/>
    <w:basedOn w:val="List4"/>
    <w:rsid w:val="002B7FA5"/>
    <w:pPr>
      <w:numPr>
        <w:numId w:val="7"/>
      </w:numPr>
    </w:pPr>
  </w:style>
  <w:style w:type="paragraph" w:styleId="ListNumber5">
    <w:name w:val="List Number 5"/>
    <w:basedOn w:val="List5"/>
    <w:rsid w:val="002B7FA5"/>
    <w:pPr>
      <w:numPr>
        <w:numId w:val="8"/>
      </w:numPr>
    </w:pPr>
  </w:style>
  <w:style w:type="paragraph" w:styleId="BlockText">
    <w:name w:val="Block Text"/>
    <w:basedOn w:val="Normal"/>
    <w:rsid w:val="002B7F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7F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7FA5"/>
    <w:rPr>
      <w:sz w:val="16"/>
      <w:vertAlign w:val="superscript"/>
    </w:rPr>
  </w:style>
  <w:style w:type="character" w:customStyle="1" w:styleId="Symbols">
    <w:name w:val="Symbols"/>
    <w:basedOn w:val="DefaultParagraphFont"/>
    <w:rsid w:val="002B7FA5"/>
    <w:rPr>
      <w:rFonts w:ascii="Symbol" w:hAnsi="Symbol"/>
    </w:rPr>
  </w:style>
  <w:style w:type="character" w:customStyle="1" w:styleId="MenuOptions">
    <w:name w:val="Menu Options"/>
    <w:basedOn w:val="DefaultParagraphFont"/>
    <w:rsid w:val="002B7F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7FA5"/>
    <w:rPr>
      <w:b/>
    </w:rPr>
  </w:style>
  <w:style w:type="character" w:customStyle="1" w:styleId="Underlined">
    <w:name w:val="Underlined"/>
    <w:basedOn w:val="DefaultParagraphFont"/>
    <w:rsid w:val="002B7FA5"/>
    <w:rPr>
      <w:u w:val="single"/>
    </w:rPr>
  </w:style>
  <w:style w:type="paragraph" w:customStyle="1" w:styleId="TableBodyTextRight">
    <w:name w:val="Table Body Text Right"/>
    <w:basedOn w:val="TableBodyText"/>
    <w:rsid w:val="002B7F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7FA5"/>
    <w:rPr>
      <w:sz w:val="18"/>
    </w:rPr>
  </w:style>
  <w:style w:type="paragraph" w:customStyle="1" w:styleId="BodySmallRight">
    <w:name w:val="Body Small Right"/>
    <w:basedOn w:val="BodyTextRight"/>
    <w:rsid w:val="002B7FA5"/>
    <w:rPr>
      <w:sz w:val="18"/>
      <w:szCs w:val="18"/>
    </w:rPr>
  </w:style>
  <w:style w:type="paragraph" w:customStyle="1" w:styleId="MarginEdition">
    <w:name w:val="Margin Edition"/>
    <w:basedOn w:val="MarginNote"/>
    <w:rsid w:val="002B7F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7FA5"/>
    <w:rPr>
      <w:sz w:val="2"/>
      <w:szCs w:val="2"/>
    </w:rPr>
  </w:style>
  <w:style w:type="character" w:customStyle="1" w:styleId="Small">
    <w:name w:val="Small"/>
    <w:basedOn w:val="DefaultParagraphFont"/>
    <w:rsid w:val="002B7FA5"/>
    <w:rPr>
      <w:sz w:val="16"/>
    </w:rPr>
  </w:style>
  <w:style w:type="paragraph" w:customStyle="1" w:styleId="WideTable">
    <w:name w:val="Wide Table"/>
    <w:basedOn w:val="Normal"/>
    <w:rsid w:val="002B7F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7FA5"/>
  </w:style>
  <w:style w:type="paragraph" w:styleId="Quote">
    <w:name w:val="Quote"/>
    <w:basedOn w:val="Heading1"/>
    <w:link w:val="QuoteChar"/>
    <w:qFormat/>
    <w:rsid w:val="002B7F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7F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7FA5"/>
    <w:pPr>
      <w:pageBreakBefore/>
    </w:pPr>
  </w:style>
  <w:style w:type="paragraph" w:customStyle="1" w:styleId="Border">
    <w:name w:val="Border"/>
    <w:basedOn w:val="Normal"/>
    <w:qFormat/>
    <w:rsid w:val="002B7F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7F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7F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7F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7F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7F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7F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7F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7F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7FA5"/>
    <w:rPr>
      <w:u w:val="single"/>
    </w:rPr>
  </w:style>
  <w:style w:type="character" w:customStyle="1" w:styleId="BoldandItalics">
    <w:name w:val="Bold and Italics"/>
    <w:qFormat/>
    <w:rsid w:val="002B7FA5"/>
    <w:rPr>
      <w:b/>
      <w:i/>
      <w:u w:val="none"/>
    </w:rPr>
  </w:style>
  <w:style w:type="paragraph" w:styleId="BalloonText">
    <w:name w:val="Balloon Text"/>
    <w:basedOn w:val="Normal"/>
    <w:link w:val="BalloonTextChar"/>
    <w:rsid w:val="002B7F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7F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7F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7F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7F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7F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7FA5"/>
    <w:pPr>
      <w:spacing w:before="0" w:after="0"/>
    </w:pPr>
  </w:style>
  <w:style w:type="paragraph" w:customStyle="1" w:styleId="BodyTextBold">
    <w:name w:val="Body Text Bold"/>
    <w:basedOn w:val="BodyText"/>
    <w:qFormat/>
    <w:rsid w:val="002B7FA5"/>
    <w:rPr>
      <w:b/>
    </w:rPr>
  </w:style>
  <w:style w:type="character" w:styleId="Hyperlink">
    <w:name w:val="Hyperlink"/>
    <w:basedOn w:val="DefaultParagraphFont"/>
    <w:uiPriority w:val="99"/>
    <w:unhideWhenUsed/>
    <w:rsid w:val="006A4C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1123</Words>
  <Characters>7864</Characters>
  <Application>Microsoft Office Word</Application>
  <DocSecurity>0</DocSecurity>
  <Lines>253</Lines>
  <Paragraphs>199</Paragraphs>
  <ScaleCrop>false</ScaleCrop>
  <Company>Author-it Software Corporation Ltd.</Company>
  <LinksUpToDate>false</LinksUpToDate>
  <CharactersWithSpaces>8788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HLTANA011 Respond to anaesthesia related emergencies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