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3B7" w:rsidP="000203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HLTANA011 Respond to anaesthesia related emergencies</w:t>
      </w:r>
      <w:r>
        <w:fldChar w:fldCharType="end"/>
      </w:r>
    </w:p>
    <w:p w:rsidR="000203B7" w:rsidP="000203B7">
      <w:pPr>
        <w:pStyle w:val="Version"/>
        <w:sectPr w:rsidSect="001B3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5E5" w:rsidP="001B35E5">
      <w:pPr>
        <w:pStyle w:val="SuperHeading"/>
      </w:pPr>
      <w:r w:rsidRPr="001B35E5">
        <w:t>Assessment Requirements for HLTANA011 Respond to anaesthesia related emergencies</w:t>
      </w:r>
    </w:p>
    <w:p w:rsidR="00000000" w:rsidRPr="001B35E5" w:rsidP="001B35E5">
      <w:pPr>
        <w:pStyle w:val="Heading1"/>
      </w:pPr>
      <w:bookmarkStart w:id="1" w:name="O_1198957"/>
      <w:bookmarkEnd w:id="1"/>
      <w:r w:rsidRPr="001B35E5">
        <w:t>Modification History</w:t>
      </w:r>
    </w:p>
    <w:p w:rsidR="00000000" w:rsidRPr="001B35E5" w:rsidP="000203B7">
      <w:pPr>
        <w:pStyle w:val="BodyText"/>
      </w:pPr>
      <w:r w:rsidRPr="001B35E5">
        <w:t>Supersedes and is not equivalent to HLTANA004 Respond to anaesthesia related emergencies.</w:t>
      </w:r>
    </w:p>
    <w:p w:rsidR="00000000" w:rsidRPr="001B35E5" w:rsidP="001B35E5">
      <w:pPr>
        <w:pStyle w:val="Heading1"/>
      </w:pPr>
      <w:bookmarkStart w:id="2" w:name="O_1198958"/>
      <w:bookmarkEnd w:id="2"/>
      <w:r w:rsidRPr="001B35E5">
        <w:t>Performance Evidence</w:t>
      </w:r>
    </w:p>
    <w:p w:rsidR="00000000" w:rsidRPr="001B35E5" w:rsidP="000203B7">
      <w:pPr>
        <w:pStyle w:val="BodyText"/>
      </w:pPr>
      <w:r w:rsidRPr="001B35E5">
        <w:t>Evidence of the ability to complete tasks outlined in elements and performance criteria of this unit in the context of the job role, and:</w:t>
      </w:r>
    </w:p>
    <w:p w:rsidR="00000000" w:rsidRPr="001B35E5" w:rsidP="001B35E5">
      <w:pPr>
        <w:pStyle w:val="ListBullet"/>
      </w:pPr>
      <w:r w:rsidRPr="001B35E5">
        <w:t>determine and action response to each of the following diverse emergency situations on at least one occasion, includi</w:t>
      </w:r>
      <w:r w:rsidRPr="001B35E5">
        <w:t>ng:</w:t>
      </w:r>
    </w:p>
    <w:p w:rsidR="00000000" w:rsidRPr="001B35E5" w:rsidP="001B35E5">
      <w:pPr>
        <w:pStyle w:val="ListBullet2"/>
      </w:pPr>
      <w:r w:rsidRPr="001B35E5">
        <w:t>respiratory or airway emergencies:</w:t>
      </w:r>
    </w:p>
    <w:p w:rsidR="00000000" w:rsidRPr="001B35E5" w:rsidP="001B35E5">
      <w:pPr>
        <w:pStyle w:val="ListBullet3"/>
      </w:pPr>
      <w:r w:rsidRPr="001B35E5">
        <w:t>difficult or compromised airway</w:t>
      </w:r>
    </w:p>
    <w:p w:rsidR="00000000" w:rsidRPr="001B35E5" w:rsidP="001B35E5">
      <w:pPr>
        <w:pStyle w:val="ListBullet3"/>
      </w:pPr>
      <w:r w:rsidRPr="001B35E5">
        <w:t>can’t intubate can’t oxygenate (CICO)</w:t>
      </w:r>
    </w:p>
    <w:p w:rsidR="00000000" w:rsidRPr="001B35E5" w:rsidP="001B35E5">
      <w:pPr>
        <w:pStyle w:val="ListBullet3"/>
      </w:pPr>
      <w:r w:rsidRPr="001B35E5">
        <w:t xml:space="preserve">bronchospasm </w:t>
      </w:r>
    </w:p>
    <w:p w:rsidR="00000000" w:rsidRPr="001B35E5" w:rsidP="001B35E5">
      <w:pPr>
        <w:pStyle w:val="ListBullet3"/>
      </w:pPr>
      <w:r w:rsidRPr="001B35E5">
        <w:t xml:space="preserve">pneumothorax </w:t>
      </w:r>
    </w:p>
    <w:p w:rsidR="00000000" w:rsidRPr="001B35E5" w:rsidP="001B35E5">
      <w:pPr>
        <w:pStyle w:val="ListBullet3"/>
      </w:pPr>
      <w:r w:rsidRPr="001B35E5">
        <w:t>laryngospasm</w:t>
      </w:r>
    </w:p>
    <w:p w:rsidR="00000000" w:rsidRPr="001B35E5" w:rsidP="001B35E5">
      <w:pPr>
        <w:pStyle w:val="ListBullet3"/>
      </w:pPr>
      <w:r w:rsidRPr="001B35E5">
        <w:t>aspiration</w:t>
      </w:r>
    </w:p>
    <w:p w:rsidR="00000000" w:rsidRPr="001B35E5" w:rsidP="001B35E5">
      <w:pPr>
        <w:pStyle w:val="ListBullet2"/>
      </w:pPr>
      <w:r w:rsidRPr="001B35E5">
        <w:t>cardiac emergencies:</w:t>
      </w:r>
    </w:p>
    <w:p w:rsidR="00000000" w:rsidRPr="001B35E5" w:rsidP="001B35E5">
      <w:pPr>
        <w:pStyle w:val="ListBullet3"/>
      </w:pPr>
      <w:r w:rsidRPr="001B35E5">
        <w:t>ventricular fibrillation</w:t>
      </w:r>
    </w:p>
    <w:p w:rsidR="00000000" w:rsidRPr="001B35E5" w:rsidP="001B35E5">
      <w:pPr>
        <w:pStyle w:val="ListBullet3"/>
      </w:pPr>
      <w:r w:rsidRPr="001B35E5">
        <w:t>ventricular tachycardia</w:t>
      </w:r>
    </w:p>
    <w:p w:rsidR="00000000" w:rsidRPr="001B35E5" w:rsidP="001B35E5">
      <w:pPr>
        <w:pStyle w:val="ListBullet3"/>
      </w:pPr>
      <w:r w:rsidRPr="001B35E5">
        <w:t>pulseless electrical activity</w:t>
      </w:r>
    </w:p>
    <w:p w:rsidR="00000000" w:rsidRPr="001B35E5" w:rsidP="001B35E5">
      <w:pPr>
        <w:pStyle w:val="ListBullet3"/>
      </w:pPr>
      <w:r w:rsidRPr="001B35E5">
        <w:t>asystole</w:t>
      </w:r>
    </w:p>
    <w:p w:rsidR="00000000" w:rsidRPr="001B35E5" w:rsidP="001B35E5">
      <w:pPr>
        <w:pStyle w:val="ListBullet3"/>
      </w:pPr>
      <w:r w:rsidRPr="001B35E5">
        <w:t>third degree heart block</w:t>
      </w:r>
    </w:p>
    <w:p w:rsidR="00000000" w:rsidRPr="001B35E5" w:rsidP="001B35E5">
      <w:pPr>
        <w:pStyle w:val="ListBullet3"/>
      </w:pPr>
      <w:r w:rsidRPr="001B35E5">
        <w:t>perioperative myocardial infarction</w:t>
      </w:r>
    </w:p>
    <w:p w:rsidR="00000000" w:rsidRPr="001B35E5" w:rsidP="001B35E5">
      <w:pPr>
        <w:pStyle w:val="ListBullet3"/>
      </w:pPr>
      <w:r w:rsidRPr="001B35E5">
        <w:t>cardiac tamponade</w:t>
      </w:r>
    </w:p>
    <w:p w:rsidR="00000000" w:rsidRPr="001B35E5" w:rsidP="001B35E5">
      <w:pPr>
        <w:pStyle w:val="ListBullet2"/>
      </w:pPr>
      <w:r w:rsidRPr="001B35E5">
        <w:t>malignant hyperthermia</w:t>
      </w:r>
    </w:p>
    <w:p w:rsidR="00000000" w:rsidRPr="001B35E5" w:rsidP="001B35E5">
      <w:pPr>
        <w:pStyle w:val="ListBullet2"/>
      </w:pPr>
      <w:r w:rsidRPr="001B35E5">
        <w:t>hypothermia</w:t>
      </w:r>
    </w:p>
    <w:p w:rsidR="00000000" w:rsidRPr="001B35E5" w:rsidP="001B35E5">
      <w:pPr>
        <w:pStyle w:val="ListBullet2"/>
      </w:pPr>
      <w:r w:rsidRPr="001B35E5">
        <w:t>hypovolaemic shock or massive haemorrhage</w:t>
      </w:r>
    </w:p>
    <w:p w:rsidR="00000000" w:rsidRPr="001B35E5" w:rsidP="001B35E5">
      <w:pPr>
        <w:pStyle w:val="ListBullet2"/>
      </w:pPr>
      <w:r w:rsidRPr="001B35E5">
        <w:t>severe hypotension</w:t>
      </w:r>
    </w:p>
    <w:p w:rsidR="00000000" w:rsidRPr="001B35E5" w:rsidP="001B35E5">
      <w:pPr>
        <w:pStyle w:val="ListBullet2"/>
      </w:pPr>
      <w:r w:rsidRPr="001B35E5">
        <w:t>severe hypertension</w:t>
      </w:r>
    </w:p>
    <w:p w:rsidR="00000000" w:rsidRPr="001B35E5" w:rsidP="001B35E5">
      <w:pPr>
        <w:pStyle w:val="ListBullet2"/>
      </w:pPr>
      <w:r w:rsidRPr="001B35E5">
        <w:t>pulmonary hypertension</w:t>
      </w:r>
    </w:p>
    <w:p w:rsidR="00000000" w:rsidRPr="001B35E5" w:rsidP="001B35E5">
      <w:pPr>
        <w:pStyle w:val="ListBullet2"/>
      </w:pPr>
      <w:r w:rsidRPr="001B35E5">
        <w:t>anaphylaxis</w:t>
      </w:r>
    </w:p>
    <w:p w:rsidR="00000000" w:rsidRPr="001B35E5" w:rsidP="001B35E5">
      <w:pPr>
        <w:pStyle w:val="ListBullet2"/>
      </w:pPr>
      <w:r w:rsidRPr="001B35E5">
        <w:t>thromboembolism or pulmonary embolism including fat, thrombus, air or gas, amniotic fluid</w:t>
      </w:r>
    </w:p>
    <w:p w:rsidR="00000000" w:rsidRPr="001B35E5" w:rsidP="001B35E5">
      <w:pPr>
        <w:pStyle w:val="ListBullet2"/>
      </w:pPr>
      <w:r w:rsidRPr="001B35E5">
        <w:t>local anaesthetic toxicity</w:t>
      </w:r>
    </w:p>
    <w:p w:rsidR="00000000" w:rsidRPr="001B35E5" w:rsidP="001B35E5">
      <w:pPr>
        <w:pStyle w:val="ListBullet2"/>
      </w:pPr>
      <w:r w:rsidRPr="001B35E5">
        <w:t>total spinal</w:t>
      </w:r>
    </w:p>
    <w:p w:rsidR="00000000" w:rsidRPr="001B35E5" w:rsidP="001B35E5">
      <w:pPr>
        <w:pStyle w:val="ListBullet2"/>
      </w:pPr>
      <w:r w:rsidRPr="001B35E5">
        <w:t xml:space="preserve">drug administration error and adverse drug reaction  </w:t>
      </w:r>
    </w:p>
    <w:p w:rsidR="00000000" w:rsidRPr="001B35E5" w:rsidP="001B35E5">
      <w:pPr>
        <w:pStyle w:val="ListBullet"/>
      </w:pPr>
      <w:r w:rsidRPr="001B35E5">
        <w:t>follow established procedures for us</w:t>
      </w:r>
      <w:r w:rsidRPr="001B35E5">
        <w:t>e of each of the following emergency equipment and consumables on at least one occasion, including:</w:t>
      </w:r>
    </w:p>
    <w:p w:rsidR="00000000" w:rsidRPr="001B35E5" w:rsidP="001B35E5">
      <w:pPr>
        <w:pStyle w:val="ListBullet2"/>
      </w:pPr>
      <w:r w:rsidRPr="001B35E5">
        <w:t xml:space="preserve">difficult airway trolley and other airway and suction equipment </w:t>
      </w:r>
    </w:p>
    <w:p w:rsidR="00000000" w:rsidRPr="001B35E5" w:rsidP="001B35E5">
      <w:pPr>
        <w:pStyle w:val="ListBullet2"/>
      </w:pPr>
      <w:r w:rsidRPr="001B35E5">
        <w:t>cardiac arrest trolley and defibrillator</w:t>
      </w:r>
    </w:p>
    <w:p w:rsidR="00000000" w:rsidRPr="001B35E5" w:rsidP="001B35E5">
      <w:pPr>
        <w:pStyle w:val="ListBullet2"/>
      </w:pPr>
      <w:r w:rsidRPr="001B35E5">
        <w:t>heating and cooling equipment</w:t>
      </w:r>
    </w:p>
    <w:p w:rsidR="00000000" w:rsidRPr="001B35E5" w:rsidP="001B35E5">
      <w:pPr>
        <w:pStyle w:val="ListBullet2"/>
      </w:pPr>
      <w:r w:rsidRPr="001B35E5">
        <w:t>infusion or transfu</w:t>
      </w:r>
      <w:r w:rsidRPr="001B35E5">
        <w:t>sion equipment</w:t>
      </w:r>
    </w:p>
    <w:p w:rsidR="00000000" w:rsidRPr="001B35E5" w:rsidP="001B35E5">
      <w:pPr>
        <w:pStyle w:val="ListBullet2"/>
      </w:pPr>
      <w:r w:rsidRPr="001B35E5">
        <w:t>monitoring equipment</w:t>
      </w:r>
    </w:p>
    <w:p w:rsidR="00000000" w:rsidRPr="001B35E5" w:rsidP="001B35E5">
      <w:pPr>
        <w:pStyle w:val="ListBullet2"/>
      </w:pPr>
      <w:r w:rsidRPr="001B35E5">
        <w:t>medications, fluids and therapeutic substances</w:t>
      </w:r>
    </w:p>
    <w:p w:rsidR="00000000" w:rsidRPr="001B35E5" w:rsidP="001B35E5">
      <w:pPr>
        <w:pStyle w:val="ListBullet2"/>
      </w:pPr>
      <w:r w:rsidRPr="001B35E5">
        <w:t>chest drains</w:t>
      </w:r>
    </w:p>
    <w:p w:rsidR="00000000" w:rsidRPr="001B35E5" w:rsidP="001B35E5">
      <w:pPr>
        <w:pStyle w:val="ListBullet2"/>
      </w:pPr>
      <w:r w:rsidRPr="001B35E5">
        <w:t>invasive access and invasive monitoring.</w:t>
      </w:r>
    </w:p>
    <w:p w:rsidR="00000000" w:rsidRPr="001B35E5" w:rsidP="001B35E5">
      <w:pPr>
        <w:pStyle w:val="AllowPageBreak"/>
      </w:pPr>
    </w:p>
    <w:p w:rsidR="00000000" w:rsidRPr="001B35E5" w:rsidP="001B35E5">
      <w:pPr>
        <w:pStyle w:val="Heading1"/>
      </w:pPr>
      <w:bookmarkStart w:id="3" w:name="O_1198959"/>
      <w:bookmarkEnd w:id="3"/>
      <w:r w:rsidRPr="001B35E5">
        <w:t>Knowledge Evidence</w:t>
      </w:r>
    </w:p>
    <w:p w:rsidR="00000000" w:rsidRPr="001B35E5" w:rsidP="000203B7">
      <w:pPr>
        <w:pStyle w:val="BodyText"/>
      </w:pPr>
      <w:r w:rsidRPr="001B35E5">
        <w:t>Demonstrated knowledge required to complete the tasks outlined in elements and performance criteria of this unit:</w:t>
      </w:r>
    </w:p>
    <w:p w:rsidR="00000000" w:rsidRPr="001B35E5" w:rsidP="001B35E5">
      <w:pPr>
        <w:pStyle w:val="ListBullet"/>
      </w:pPr>
      <w:r w:rsidRPr="001B35E5">
        <w:t>legal and ethical considerations, national, state or territory, for emergencies, and how these are applied in organisations:</w:t>
      </w:r>
    </w:p>
    <w:p w:rsidR="00000000" w:rsidRPr="001B35E5" w:rsidP="001B35E5">
      <w:pPr>
        <w:pStyle w:val="ListBullet2"/>
      </w:pPr>
      <w:r w:rsidRPr="001B35E5">
        <w:t>codes of practi</w:t>
      </w:r>
      <w:r w:rsidRPr="001B35E5">
        <w:t>ce</w:t>
      </w:r>
    </w:p>
    <w:p w:rsidR="00000000" w:rsidRPr="001B35E5" w:rsidP="001B35E5">
      <w:pPr>
        <w:pStyle w:val="ListBullet2"/>
      </w:pPr>
      <w:r w:rsidRPr="001B35E5">
        <w:t>duty of care</w:t>
      </w:r>
    </w:p>
    <w:p w:rsidR="00000000" w:rsidRPr="001B35E5" w:rsidP="001B35E5">
      <w:pPr>
        <w:pStyle w:val="ListBullet2"/>
      </w:pPr>
      <w:r w:rsidRPr="001B35E5">
        <w:t xml:space="preserve">infection prevention and control </w:t>
      </w:r>
    </w:p>
    <w:p w:rsidR="00000000" w:rsidRPr="001B35E5" w:rsidP="001B35E5">
      <w:pPr>
        <w:pStyle w:val="ListBullet2"/>
      </w:pPr>
      <w:r w:rsidRPr="001B35E5">
        <w:t xml:space="preserve">informed consent </w:t>
      </w:r>
    </w:p>
    <w:p w:rsidR="00000000" w:rsidRPr="001B35E5" w:rsidP="001B35E5">
      <w:pPr>
        <w:pStyle w:val="ListBullet2"/>
      </w:pPr>
      <w:r w:rsidRPr="001B35E5">
        <w:t xml:space="preserve">mandatory reporting </w:t>
      </w:r>
    </w:p>
    <w:p w:rsidR="00000000" w:rsidRPr="001B35E5" w:rsidP="001B35E5">
      <w:pPr>
        <w:pStyle w:val="ListBullet2"/>
      </w:pPr>
      <w:r w:rsidRPr="001B35E5">
        <w:t>privacy, confidentiality and disclosure</w:t>
      </w:r>
    </w:p>
    <w:p w:rsidR="00000000" w:rsidRPr="001B35E5" w:rsidP="001B35E5">
      <w:pPr>
        <w:pStyle w:val="ListBullet2"/>
      </w:pPr>
      <w:r w:rsidRPr="001B35E5">
        <w:t xml:space="preserve">records management </w:t>
      </w:r>
    </w:p>
    <w:p w:rsidR="00000000" w:rsidRPr="001B35E5" w:rsidP="001B35E5">
      <w:pPr>
        <w:pStyle w:val="ListBullet2"/>
      </w:pPr>
      <w:r w:rsidRPr="001B35E5">
        <w:t>rights and responsibilities of workers, employers and patients</w:t>
      </w:r>
    </w:p>
    <w:p w:rsidR="00000000" w:rsidRPr="001B35E5" w:rsidP="001B35E5">
      <w:pPr>
        <w:pStyle w:val="ListBullet2"/>
      </w:pPr>
      <w:r w:rsidRPr="001B35E5">
        <w:t>work role boundaries including responsibilities and limitations in emergencies</w:t>
      </w:r>
    </w:p>
    <w:p w:rsidR="00000000" w:rsidRPr="001B35E5" w:rsidP="001B35E5">
      <w:pPr>
        <w:pStyle w:val="ListBullet2"/>
      </w:pPr>
      <w:r w:rsidRPr="001B35E5">
        <w:t>work health and safety</w:t>
      </w:r>
    </w:p>
    <w:p w:rsidR="00000000" w:rsidRPr="001B35E5" w:rsidP="001B35E5">
      <w:pPr>
        <w:pStyle w:val="ListBullet"/>
      </w:pPr>
      <w:r w:rsidRPr="001B35E5">
        <w:t>the following anaesthetic emergencies, their signs, symptoms, physiological and non-physiological causes, treatment or resolution and prediction:</w:t>
      </w:r>
    </w:p>
    <w:p w:rsidR="00000000" w:rsidRPr="001B35E5" w:rsidP="001B35E5">
      <w:pPr>
        <w:pStyle w:val="ListBullet2"/>
      </w:pPr>
      <w:r w:rsidRPr="001B35E5">
        <w:t>respir</w:t>
      </w:r>
      <w:r w:rsidRPr="001B35E5">
        <w:t>atory or airway emergencies:</w:t>
      </w:r>
    </w:p>
    <w:p w:rsidR="00000000" w:rsidRPr="001B35E5" w:rsidP="001B35E5">
      <w:pPr>
        <w:pStyle w:val="ListBullet3"/>
      </w:pPr>
      <w:r w:rsidRPr="001B35E5">
        <w:t>difficult or compromised airway</w:t>
      </w:r>
    </w:p>
    <w:p w:rsidR="00000000" w:rsidRPr="001B35E5" w:rsidP="001B35E5">
      <w:pPr>
        <w:pStyle w:val="ListBullet3"/>
      </w:pPr>
      <w:r w:rsidRPr="001B35E5">
        <w:t>airway fires</w:t>
      </w:r>
    </w:p>
    <w:p w:rsidR="00000000" w:rsidRPr="001B35E5" w:rsidP="001B35E5">
      <w:pPr>
        <w:pStyle w:val="ListBullet3"/>
      </w:pPr>
      <w:r w:rsidRPr="001B35E5">
        <w:t>can’t intubate can’t oxygenate (CICO)</w:t>
      </w:r>
    </w:p>
    <w:p w:rsidR="00000000" w:rsidRPr="001B35E5" w:rsidP="001B35E5">
      <w:pPr>
        <w:pStyle w:val="ListBullet3"/>
      </w:pPr>
      <w:r w:rsidRPr="001B35E5">
        <w:t xml:space="preserve">bronchospasm </w:t>
      </w:r>
    </w:p>
    <w:p w:rsidR="00000000" w:rsidRPr="001B35E5" w:rsidP="001B35E5">
      <w:pPr>
        <w:pStyle w:val="ListBullet3"/>
      </w:pPr>
      <w:r w:rsidRPr="001B35E5">
        <w:t xml:space="preserve">pneumothorax </w:t>
      </w:r>
    </w:p>
    <w:p w:rsidR="00000000" w:rsidRPr="001B35E5" w:rsidP="001B35E5">
      <w:pPr>
        <w:pStyle w:val="ListBullet3"/>
      </w:pPr>
      <w:r w:rsidRPr="001B35E5">
        <w:t>laryngospasm</w:t>
      </w:r>
    </w:p>
    <w:p w:rsidR="00000000" w:rsidRPr="001B35E5" w:rsidP="001B35E5">
      <w:pPr>
        <w:pStyle w:val="ListBullet3"/>
      </w:pPr>
      <w:r w:rsidRPr="001B35E5">
        <w:t>aspiration</w:t>
      </w:r>
    </w:p>
    <w:p w:rsidR="00000000" w:rsidRPr="001B35E5" w:rsidP="001B35E5">
      <w:pPr>
        <w:pStyle w:val="ListBullet3"/>
      </w:pPr>
      <w:r w:rsidRPr="001B35E5">
        <w:t>suxamethonium apnoea</w:t>
      </w:r>
    </w:p>
    <w:p w:rsidR="00000000" w:rsidRPr="001B35E5" w:rsidP="001B35E5">
      <w:pPr>
        <w:pStyle w:val="ListBullet3"/>
      </w:pPr>
      <w:r w:rsidRPr="001B35E5">
        <w:t>hypoxia or hypoxaemia</w:t>
      </w:r>
    </w:p>
    <w:p w:rsidR="00000000" w:rsidRPr="001B35E5" w:rsidP="001B35E5">
      <w:pPr>
        <w:pStyle w:val="ListBullet3"/>
      </w:pPr>
      <w:r w:rsidRPr="001B35E5">
        <w:t>hypercarbia</w:t>
      </w:r>
    </w:p>
    <w:p w:rsidR="00000000" w:rsidRPr="001B35E5" w:rsidP="001B35E5">
      <w:pPr>
        <w:pStyle w:val="ListBullet3"/>
      </w:pPr>
      <w:r w:rsidRPr="001B35E5">
        <w:t>anaphylaxis</w:t>
      </w:r>
    </w:p>
    <w:p w:rsidR="00000000" w:rsidRPr="001B35E5" w:rsidP="001B35E5">
      <w:pPr>
        <w:pStyle w:val="ListBullet2"/>
      </w:pPr>
      <w:r w:rsidRPr="001B35E5">
        <w:t>cardiac emergencies:</w:t>
      </w:r>
    </w:p>
    <w:p w:rsidR="00000000" w:rsidRPr="001B35E5" w:rsidP="001B35E5">
      <w:pPr>
        <w:pStyle w:val="ListBullet3"/>
      </w:pPr>
      <w:r w:rsidRPr="001B35E5">
        <w:t>ventricular fibrillation</w:t>
      </w:r>
    </w:p>
    <w:p w:rsidR="00000000" w:rsidRPr="001B35E5" w:rsidP="001B35E5">
      <w:pPr>
        <w:pStyle w:val="ListBullet3"/>
      </w:pPr>
      <w:r w:rsidRPr="001B35E5">
        <w:t>ventricular tachycardia</w:t>
      </w:r>
    </w:p>
    <w:p w:rsidR="00000000" w:rsidRPr="001B35E5" w:rsidP="001B35E5">
      <w:pPr>
        <w:pStyle w:val="ListBullet3"/>
      </w:pPr>
      <w:r w:rsidRPr="001B35E5">
        <w:t>pulseless electrical activity</w:t>
      </w:r>
    </w:p>
    <w:p w:rsidR="00000000" w:rsidRPr="001B35E5" w:rsidP="001B35E5">
      <w:pPr>
        <w:pStyle w:val="ListBullet3"/>
      </w:pPr>
      <w:r w:rsidRPr="001B35E5">
        <w:t>asystole</w:t>
      </w:r>
    </w:p>
    <w:p w:rsidR="00000000" w:rsidRPr="001B35E5" w:rsidP="001B35E5">
      <w:pPr>
        <w:pStyle w:val="ListBullet3"/>
      </w:pPr>
      <w:r w:rsidRPr="001B35E5">
        <w:t>third degree heart block</w:t>
      </w:r>
    </w:p>
    <w:p w:rsidR="00000000" w:rsidRPr="001B35E5" w:rsidP="001B35E5">
      <w:pPr>
        <w:pStyle w:val="ListBullet3"/>
      </w:pPr>
      <w:r w:rsidRPr="001B35E5">
        <w:t>cardiac arrhythmias which pose threat to life for individual patients</w:t>
      </w:r>
    </w:p>
    <w:p w:rsidR="00000000" w:rsidRPr="001B35E5" w:rsidP="001B35E5">
      <w:pPr>
        <w:pStyle w:val="ListBullet3"/>
      </w:pPr>
      <w:r w:rsidRPr="001B35E5">
        <w:t>perioperative myocardial infarctions</w:t>
      </w:r>
    </w:p>
    <w:p w:rsidR="00000000" w:rsidRPr="001B35E5" w:rsidP="001B35E5">
      <w:pPr>
        <w:pStyle w:val="ListBullet3"/>
      </w:pPr>
      <w:r w:rsidRPr="001B35E5">
        <w:t>cardiac tamponade</w:t>
      </w:r>
    </w:p>
    <w:p w:rsidR="00000000" w:rsidRPr="001B35E5" w:rsidP="001B35E5">
      <w:pPr>
        <w:pStyle w:val="ListBullet2"/>
      </w:pPr>
      <w:r w:rsidRPr="001B35E5">
        <w:t>malignant hyperthermia</w:t>
      </w:r>
    </w:p>
    <w:p w:rsidR="00000000" w:rsidRPr="001B35E5" w:rsidP="001B35E5">
      <w:pPr>
        <w:pStyle w:val="ListBullet2"/>
      </w:pPr>
      <w:r w:rsidRPr="001B35E5">
        <w:t>hypothermia</w:t>
      </w:r>
    </w:p>
    <w:p w:rsidR="00000000" w:rsidRPr="001B35E5" w:rsidP="001B35E5">
      <w:pPr>
        <w:pStyle w:val="ListBullet2"/>
      </w:pPr>
      <w:r w:rsidRPr="001B35E5">
        <w:t>hypovolaemic shock or massive haemorrhage</w:t>
      </w:r>
    </w:p>
    <w:p w:rsidR="00000000" w:rsidRPr="001B35E5" w:rsidP="001B35E5">
      <w:pPr>
        <w:pStyle w:val="ListBullet2"/>
      </w:pPr>
      <w:r w:rsidRPr="001B35E5">
        <w:t>severe hypotension</w:t>
      </w:r>
    </w:p>
    <w:p w:rsidR="00000000" w:rsidRPr="001B35E5" w:rsidP="001B35E5">
      <w:pPr>
        <w:pStyle w:val="ListBullet2"/>
      </w:pPr>
      <w:r w:rsidRPr="001B35E5">
        <w:t>severe hypertension</w:t>
      </w:r>
    </w:p>
    <w:p w:rsidR="00000000" w:rsidRPr="001B35E5" w:rsidP="001B35E5">
      <w:pPr>
        <w:pStyle w:val="ListBullet2"/>
      </w:pPr>
      <w:r w:rsidRPr="001B35E5">
        <w:t>pulmonary hypertension</w:t>
      </w:r>
    </w:p>
    <w:p w:rsidR="00000000" w:rsidRPr="001B35E5" w:rsidP="001B35E5">
      <w:pPr>
        <w:pStyle w:val="ListBullet2"/>
      </w:pPr>
      <w:r w:rsidRPr="001B35E5">
        <w:t xml:space="preserve">anaphylaxis </w:t>
      </w:r>
    </w:p>
    <w:p w:rsidR="00000000" w:rsidRPr="001B35E5" w:rsidP="001B35E5">
      <w:pPr>
        <w:pStyle w:val="ListBullet2"/>
      </w:pPr>
      <w:r w:rsidRPr="001B35E5">
        <w:t>thromboembolism or pulmonary embolism including fat, thrombus, air or gas, amniotic fluid</w:t>
      </w:r>
    </w:p>
    <w:p w:rsidR="00000000" w:rsidRPr="001B35E5" w:rsidP="001B35E5">
      <w:pPr>
        <w:pStyle w:val="ListBullet2"/>
      </w:pPr>
      <w:r w:rsidRPr="001B35E5">
        <w:t>pulmonary oede</w:t>
      </w:r>
      <w:r w:rsidRPr="001B35E5">
        <w:t>ma</w:t>
      </w:r>
    </w:p>
    <w:p w:rsidR="00000000" w:rsidRPr="001B35E5" w:rsidP="001B35E5">
      <w:pPr>
        <w:pStyle w:val="ListBullet2"/>
      </w:pPr>
      <w:r w:rsidRPr="001B35E5">
        <w:t>local anaesthetic toxicity</w:t>
      </w:r>
    </w:p>
    <w:p w:rsidR="00000000" w:rsidRPr="001B35E5" w:rsidP="001B35E5">
      <w:pPr>
        <w:pStyle w:val="ListBullet2"/>
      </w:pPr>
      <w:r w:rsidRPr="001B35E5">
        <w:t>total spinal</w:t>
      </w:r>
    </w:p>
    <w:p w:rsidR="00000000" w:rsidRPr="001B35E5" w:rsidP="001B35E5">
      <w:pPr>
        <w:pStyle w:val="ListBullet2"/>
      </w:pPr>
      <w:r w:rsidRPr="001B35E5">
        <w:t>diabetes</w:t>
      </w:r>
    </w:p>
    <w:p w:rsidR="00000000" w:rsidRPr="001B35E5" w:rsidP="001B35E5">
      <w:pPr>
        <w:pStyle w:val="ListBullet2"/>
      </w:pPr>
      <w:r w:rsidRPr="001B35E5">
        <w:t>metabolic and endocrine abnormalities</w:t>
      </w:r>
    </w:p>
    <w:p w:rsidR="00000000" w:rsidRPr="001B35E5" w:rsidP="001B35E5">
      <w:pPr>
        <w:pStyle w:val="ListBullet2"/>
      </w:pPr>
      <w:r w:rsidRPr="001B35E5">
        <w:t xml:space="preserve">drug administration error and adverse drug reaction  </w:t>
      </w:r>
    </w:p>
    <w:p w:rsidR="00000000" w:rsidRPr="001B35E5" w:rsidP="001B35E5">
      <w:pPr>
        <w:pStyle w:val="ListBullet2"/>
      </w:pPr>
      <w:r w:rsidRPr="001B35E5">
        <w:t>septic shower</w:t>
      </w:r>
    </w:p>
    <w:p w:rsidR="00000000" w:rsidRPr="001B35E5" w:rsidP="001B35E5">
      <w:pPr>
        <w:pStyle w:val="ListBullet2"/>
      </w:pPr>
      <w:r w:rsidRPr="001B35E5">
        <w:t>thyroid storm</w:t>
      </w:r>
    </w:p>
    <w:p w:rsidR="00000000" w:rsidRPr="001B35E5" w:rsidP="001B35E5">
      <w:pPr>
        <w:pStyle w:val="ListBullet"/>
      </w:pPr>
      <w:r w:rsidRPr="001B35E5">
        <w:t>external emergencies includin</w:t>
      </w:r>
      <w:r w:rsidRPr="001B35E5">
        <w:t>g equipment failure, equipment and consumable supply shortage, weather events, fire and power outage</w:t>
      </w:r>
    </w:p>
    <w:p w:rsidR="00000000" w:rsidRPr="001B35E5" w:rsidP="001B35E5">
      <w:pPr>
        <w:pStyle w:val="ListBullet"/>
      </w:pPr>
      <w:r w:rsidRPr="001B35E5">
        <w:t>algorithms used to escalate anaesthetic emergencies</w:t>
      </w:r>
    </w:p>
    <w:p w:rsidR="00000000" w:rsidRPr="001B35E5" w:rsidP="001B35E5">
      <w:pPr>
        <w:pStyle w:val="ListBullet"/>
      </w:pPr>
      <w:r w:rsidRPr="001B35E5">
        <w:t>crisis resource management (CRM) basic principles including internal and external crisis sources</w:t>
      </w:r>
    </w:p>
    <w:p w:rsidR="00000000" w:rsidRPr="001B35E5" w:rsidP="001B35E5">
      <w:pPr>
        <w:pStyle w:val="ListBullet"/>
      </w:pPr>
      <w:r w:rsidRPr="001B35E5">
        <w:t>method</w:t>
      </w:r>
      <w:r w:rsidRPr="001B35E5">
        <w:t>s, principles and procedures for dealing with emergencies, including:</w:t>
      </w:r>
    </w:p>
    <w:p w:rsidR="00000000" w:rsidRPr="001B35E5" w:rsidP="001B35E5">
      <w:pPr>
        <w:pStyle w:val="ListBullet2"/>
      </w:pPr>
      <w:r w:rsidRPr="001B35E5">
        <w:t>problem solving techniques</w:t>
      </w:r>
    </w:p>
    <w:p w:rsidR="00000000" w:rsidRPr="001B35E5" w:rsidP="001B35E5">
      <w:pPr>
        <w:pStyle w:val="ListBullet2"/>
      </w:pPr>
      <w:r w:rsidRPr="001B35E5">
        <w:t xml:space="preserve">graded assertiveness </w:t>
      </w:r>
    </w:p>
    <w:p w:rsidR="00000000" w:rsidRPr="001B35E5" w:rsidP="001B35E5">
      <w:pPr>
        <w:pStyle w:val="ListBullet2"/>
      </w:pPr>
      <w:r w:rsidRPr="001B35E5">
        <w:t>crisis communication principles</w:t>
      </w:r>
    </w:p>
    <w:p w:rsidR="00000000" w:rsidRPr="001B35E5" w:rsidP="001B35E5">
      <w:pPr>
        <w:pStyle w:val="ListBullet2"/>
      </w:pPr>
      <w:r w:rsidRPr="001B35E5">
        <w:t>clinical handover</w:t>
      </w:r>
    </w:p>
    <w:p w:rsidR="00000000" w:rsidRPr="001B35E5" w:rsidP="001B35E5">
      <w:pPr>
        <w:pStyle w:val="ListBullet2"/>
      </w:pPr>
      <w:r w:rsidRPr="001B35E5">
        <w:t>multidisciplinary team structure and functions</w:t>
      </w:r>
    </w:p>
    <w:p w:rsidR="00000000" w:rsidRPr="001B35E5" w:rsidP="001B35E5">
      <w:pPr>
        <w:pStyle w:val="ListBullet2"/>
      </w:pPr>
      <w:r w:rsidRPr="001B35E5">
        <w:t>situation monitoring or situational awareness</w:t>
      </w:r>
    </w:p>
    <w:p w:rsidR="00000000" w:rsidRPr="001B35E5" w:rsidP="001B35E5">
      <w:pPr>
        <w:pStyle w:val="ListBullet2"/>
      </w:pPr>
      <w:r w:rsidRPr="001B35E5">
        <w:t>massive transfusion protocol</w:t>
      </w:r>
    </w:p>
    <w:p w:rsidR="00000000" w:rsidRPr="001B35E5" w:rsidP="001B35E5">
      <w:pPr>
        <w:pStyle w:val="ListBullet2"/>
      </w:pPr>
      <w:r w:rsidRPr="001B35E5">
        <w:t>Australian Resuscitation Council (ARC) guidelines</w:t>
      </w:r>
    </w:p>
    <w:p w:rsidR="00000000" w:rsidRPr="001B35E5" w:rsidP="001B35E5">
      <w:pPr>
        <w:pStyle w:val="ListBullet2"/>
      </w:pPr>
      <w:r w:rsidRPr="001B35E5">
        <w:t>Australian and New Zealand College of Anaesthetists (ANZCA) Anaphylaxis guidelines</w:t>
      </w:r>
    </w:p>
    <w:p w:rsidR="00000000" w:rsidRPr="001B35E5" w:rsidP="001B35E5">
      <w:pPr>
        <w:pStyle w:val="ListBullet2"/>
      </w:pPr>
      <w:r w:rsidRPr="001B35E5">
        <w:t>ANZCA Malignant hyperthermia guidelines</w:t>
      </w:r>
    </w:p>
    <w:p w:rsidR="00000000" w:rsidRPr="001B35E5" w:rsidP="001B35E5">
      <w:pPr>
        <w:pStyle w:val="ListBullet2"/>
      </w:pPr>
      <w:r w:rsidRPr="001B35E5">
        <w:t>Vortex A</w:t>
      </w:r>
      <w:r w:rsidRPr="001B35E5">
        <w:t>pproach for airway management</w:t>
      </w:r>
    </w:p>
    <w:p w:rsidR="00000000" w:rsidRPr="001B35E5" w:rsidP="001B35E5">
      <w:pPr>
        <w:pStyle w:val="ListBullet2"/>
      </w:pPr>
      <w:r w:rsidRPr="001B35E5">
        <w:t>Difficult Airway Society guidelines or ANZCA guidelines for the management of Evolving Airway Obstruction: Transition to the CICO airway emergency</w:t>
      </w:r>
    </w:p>
    <w:p w:rsidR="00000000" w:rsidRPr="001B35E5" w:rsidP="001B35E5">
      <w:pPr>
        <w:pStyle w:val="ListBullet"/>
      </w:pPr>
      <w:r w:rsidRPr="001B35E5">
        <w:t>features, functions and safe use of emergency equipment</w:t>
      </w:r>
    </w:p>
    <w:p w:rsidR="00000000" w:rsidRPr="001B35E5" w:rsidP="001B35E5">
      <w:pPr>
        <w:pStyle w:val="ListBullet"/>
      </w:pPr>
      <w:r w:rsidRPr="001B35E5">
        <w:t xml:space="preserve">emergency drug, fluid </w:t>
      </w:r>
      <w:r w:rsidRPr="001B35E5">
        <w:t>and therapeutic substance administration:</w:t>
      </w:r>
    </w:p>
    <w:p w:rsidR="00000000" w:rsidRPr="001B35E5" w:rsidP="001B35E5">
      <w:pPr>
        <w:pStyle w:val="ListBullet2"/>
      </w:pPr>
      <w:r w:rsidRPr="001B35E5">
        <w:t>equipment</w:t>
      </w:r>
    </w:p>
    <w:p w:rsidR="00000000" w:rsidRPr="001B35E5" w:rsidP="001B35E5">
      <w:pPr>
        <w:pStyle w:val="ListBullet2"/>
      </w:pPr>
      <w:r w:rsidRPr="001B35E5">
        <w:t>routes of administration in anaesthesia context</w:t>
      </w:r>
    </w:p>
    <w:p w:rsidR="00000000" w:rsidRPr="001B35E5" w:rsidP="001B35E5">
      <w:pPr>
        <w:pStyle w:val="ListBullet2"/>
      </w:pPr>
      <w:r w:rsidRPr="001B35E5">
        <w:t>types, functions and effects of different drugs, fluids and therapeutic substances</w:t>
      </w:r>
    </w:p>
    <w:p w:rsidR="00000000" w:rsidRPr="001B35E5" w:rsidP="001B35E5">
      <w:pPr>
        <w:pStyle w:val="ListBullet2"/>
      </w:pPr>
      <w:r w:rsidRPr="001B35E5">
        <w:t>legislation and protocols.</w:t>
      </w:r>
    </w:p>
    <w:p w:rsidR="00000000" w:rsidRPr="001B35E5" w:rsidP="001B35E5">
      <w:pPr>
        <w:pStyle w:val="AllowPageBreak"/>
      </w:pPr>
    </w:p>
    <w:p w:rsidR="00000000" w:rsidRPr="001B35E5" w:rsidP="001B35E5">
      <w:pPr>
        <w:pStyle w:val="Heading1"/>
      </w:pPr>
      <w:bookmarkStart w:id="4" w:name="O_1198960"/>
      <w:bookmarkEnd w:id="4"/>
      <w:r w:rsidRPr="001B35E5">
        <w:t>Assessment Conditions</w:t>
      </w:r>
    </w:p>
    <w:p w:rsidR="00000000" w:rsidRPr="001B35E5" w:rsidP="000203B7">
      <w:pPr>
        <w:pStyle w:val="BodyText"/>
      </w:pPr>
      <w:r w:rsidRPr="001B35E5">
        <w:t xml:space="preserve">Skills must be demonstrated in the workplace or in a simulated environment that reflects workplace conditions. </w:t>
      </w:r>
    </w:p>
    <w:p w:rsidR="00000000" w:rsidRPr="001B35E5" w:rsidP="000203B7">
      <w:pPr>
        <w:pStyle w:val="BodyText"/>
      </w:pPr>
      <w:r w:rsidRPr="001B35E5">
        <w:t>Assessment must ensure access to:</w:t>
      </w:r>
    </w:p>
    <w:p w:rsidR="00000000" w:rsidRPr="001B35E5" w:rsidP="001B35E5">
      <w:pPr>
        <w:pStyle w:val="ListBullet"/>
      </w:pPr>
      <w:r w:rsidRPr="001B35E5">
        <w:t>use of suitable facilities, equipment and resources, including those to simulate management of all emergencie</w:t>
      </w:r>
      <w:r w:rsidRPr="001B35E5">
        <w:t xml:space="preserve">s identified in the Performance Evidence </w:t>
      </w:r>
    </w:p>
    <w:p w:rsidR="00000000" w:rsidRPr="001B35E5" w:rsidP="001B35E5">
      <w:pPr>
        <w:pStyle w:val="ListBullet"/>
      </w:pPr>
      <w:r w:rsidRPr="001B35E5">
        <w:t>modelling of industry operating conditions, including presence of situations requiring problem solving in non-routine situations.</w:t>
      </w:r>
    </w:p>
    <w:p w:rsidR="00000000" w:rsidRPr="001B35E5" w:rsidP="000203B7">
      <w:pPr>
        <w:pStyle w:val="BodyText"/>
      </w:pPr>
      <w:r w:rsidRPr="001B35E5">
        <w:t>Assessors must satisfy the Standards for Registered Training Organisations’ requirem</w:t>
      </w:r>
      <w:r w:rsidRPr="001B35E5">
        <w:t>ents for assessors.</w:t>
      </w:r>
    </w:p>
    <w:p w:rsidR="00000000" w:rsidRPr="001B35E5" w:rsidP="001B35E5">
      <w:pPr>
        <w:pStyle w:val="Heading1"/>
      </w:pPr>
      <w:bookmarkStart w:id="5" w:name="O_1198963"/>
      <w:bookmarkEnd w:id="5"/>
      <w:r w:rsidRPr="001B35E5">
        <w:t>Links</w:t>
      </w:r>
    </w:p>
    <w:p w:rsidR="00000000" w:rsidRPr="001B35E5" w:rsidP="000203B7">
      <w:pPr>
        <w:pStyle w:val="BodyText"/>
      </w:pPr>
      <w:r w:rsidRPr="001B3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27BA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B35E5" w:rsidP="001B35E5"/>
    <w:sectPr w:rsidSect="001B3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5" w:rsidRPr="000203B7" w:rsidP="000203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B7" w:rsidP="001B3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03B7" w:rsidP="001B3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03B7" w:rsidP="001B3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5E5" w:rsidRPr="000203B7" w:rsidP="000203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B7" w:rsidRPr="002D2AF8" w:rsidP="001B3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HLTANA011 Respond to anaesthesia related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203B7" w:rsidP="001B3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06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906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BE1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5E5"/>
  </w:style>
  <w:style w:type="character" w:customStyle="1" w:styleId="Heading1Char">
    <w:name w:val="Heading 1 Char"/>
    <w:basedOn w:val="DefaultParagraphFont"/>
    <w:link w:val="Heading1"/>
    <w:rsid w:val="001B3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5E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35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3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B35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B3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35E5"/>
    <w:rPr>
      <w:b/>
      <w:spacing w:val="0"/>
    </w:rPr>
  </w:style>
  <w:style w:type="paragraph" w:customStyle="1" w:styleId="SuperTitle">
    <w:name w:val="SuperTitle"/>
    <w:basedOn w:val="Title"/>
    <w:rsid w:val="001B3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5E5"/>
    <w:rPr>
      <w:i/>
    </w:rPr>
  </w:style>
  <w:style w:type="paragraph" w:styleId="Caption">
    <w:name w:val="caption"/>
    <w:basedOn w:val="BodyText"/>
    <w:next w:val="Normal"/>
    <w:qFormat/>
    <w:rsid w:val="001B3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5E5"/>
  </w:style>
  <w:style w:type="paragraph" w:styleId="TableofFigures">
    <w:name w:val="table of figures"/>
    <w:basedOn w:val="Normal"/>
    <w:next w:val="Normal"/>
    <w:semiHidden/>
    <w:rsid w:val="001B3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5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B35E5"/>
    <w:rPr>
      <w:rFonts w:ascii="Wingdings" w:hAnsi="Wingdings"/>
    </w:rPr>
  </w:style>
  <w:style w:type="paragraph" w:customStyle="1" w:styleId="TableHeading">
    <w:name w:val="Table Heading"/>
    <w:basedOn w:val="HeadingBase"/>
    <w:rsid w:val="001B3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5E5"/>
    <w:rPr>
      <w:color w:val="0033CC"/>
      <w:u w:val="none"/>
    </w:rPr>
  </w:style>
  <w:style w:type="paragraph" w:customStyle="1" w:styleId="BodyTextRight">
    <w:name w:val="Body Text Right"/>
    <w:basedOn w:val="BodyText"/>
    <w:rsid w:val="001B3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5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5E5"/>
    <w:rPr>
      <w:sz w:val="32"/>
    </w:rPr>
  </w:style>
  <w:style w:type="paragraph" w:customStyle="1" w:styleId="HeadingProcedure">
    <w:name w:val="Heading Procedure"/>
    <w:basedOn w:val="HeadingBase"/>
    <w:next w:val="Normal"/>
    <w:rsid w:val="001B3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5E5"/>
    <w:pPr>
      <w:spacing w:before="60" w:after="60"/>
    </w:pPr>
  </w:style>
  <w:style w:type="paragraph" w:styleId="ListContinue">
    <w:name w:val="List Continue"/>
    <w:basedOn w:val="List"/>
    <w:rsid w:val="001B35E5"/>
    <w:pPr>
      <w:ind w:firstLine="0"/>
    </w:pPr>
  </w:style>
  <w:style w:type="paragraph" w:customStyle="1" w:styleId="ListNote">
    <w:name w:val="List Note"/>
    <w:basedOn w:val="List"/>
    <w:rsid w:val="001B3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5E5"/>
    <w:rPr>
      <w:rFonts w:ascii="Courier New" w:hAnsi="Courier New"/>
    </w:rPr>
  </w:style>
  <w:style w:type="paragraph" w:customStyle="1" w:styleId="NoteBullet">
    <w:name w:val="Note Bullet"/>
    <w:basedOn w:val="Note"/>
    <w:rsid w:val="001B3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5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3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5E5"/>
    <w:rPr>
      <w:b/>
      <w:smallCaps/>
    </w:rPr>
  </w:style>
  <w:style w:type="paragraph" w:customStyle="1" w:styleId="TableListNumber">
    <w:name w:val="Table List Number"/>
    <w:basedOn w:val="ListNumber"/>
    <w:rsid w:val="001B3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5E5"/>
    <w:pPr>
      <w:numPr>
        <w:numId w:val="10"/>
      </w:numPr>
    </w:pPr>
  </w:style>
  <w:style w:type="paragraph" w:customStyle="1" w:styleId="ListAlpha2">
    <w:name w:val="List Alpha 2"/>
    <w:basedOn w:val="List2"/>
    <w:rsid w:val="001B35E5"/>
    <w:pPr>
      <w:numPr>
        <w:numId w:val="9"/>
      </w:numPr>
    </w:pPr>
  </w:style>
  <w:style w:type="paragraph" w:styleId="List2">
    <w:name w:val="List 2"/>
    <w:basedOn w:val="BodyText"/>
    <w:rsid w:val="001B3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5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B35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B35E5"/>
    <w:pPr>
      <w:numPr>
        <w:numId w:val="5"/>
      </w:numPr>
    </w:pPr>
  </w:style>
  <w:style w:type="paragraph" w:styleId="ListContinue2">
    <w:name w:val="List Continue 2"/>
    <w:basedOn w:val="List2"/>
    <w:rsid w:val="001B35E5"/>
    <w:pPr>
      <w:ind w:firstLine="0"/>
    </w:pPr>
  </w:style>
  <w:style w:type="paragraph" w:styleId="ListContinue3">
    <w:name w:val="List Continue 3"/>
    <w:basedOn w:val="List3"/>
    <w:rsid w:val="001B35E5"/>
    <w:pPr>
      <w:ind w:left="1021" w:firstLine="0"/>
    </w:pPr>
  </w:style>
  <w:style w:type="paragraph" w:styleId="ListContinue4">
    <w:name w:val="List Continue 4"/>
    <w:basedOn w:val="List4"/>
    <w:rsid w:val="001B35E5"/>
    <w:pPr>
      <w:ind w:firstLine="0"/>
    </w:pPr>
  </w:style>
  <w:style w:type="paragraph" w:styleId="ListContinue5">
    <w:name w:val="List Continue 5"/>
    <w:basedOn w:val="List5"/>
    <w:rsid w:val="001B35E5"/>
    <w:pPr>
      <w:ind w:firstLine="0"/>
    </w:pPr>
  </w:style>
  <w:style w:type="paragraph" w:styleId="ListNumber3">
    <w:name w:val="List Number 3"/>
    <w:basedOn w:val="List3"/>
    <w:rsid w:val="001B35E5"/>
    <w:pPr>
      <w:numPr>
        <w:numId w:val="6"/>
      </w:numPr>
    </w:pPr>
  </w:style>
  <w:style w:type="paragraph" w:styleId="ListNumber4">
    <w:name w:val="List Number 4"/>
    <w:basedOn w:val="List4"/>
    <w:rsid w:val="001B35E5"/>
    <w:pPr>
      <w:numPr>
        <w:numId w:val="7"/>
      </w:numPr>
    </w:pPr>
  </w:style>
  <w:style w:type="paragraph" w:styleId="ListNumber5">
    <w:name w:val="List Number 5"/>
    <w:basedOn w:val="List5"/>
    <w:rsid w:val="001B35E5"/>
    <w:pPr>
      <w:numPr>
        <w:numId w:val="8"/>
      </w:numPr>
    </w:pPr>
  </w:style>
  <w:style w:type="paragraph" w:styleId="BlockText">
    <w:name w:val="Block Text"/>
    <w:basedOn w:val="Normal"/>
    <w:rsid w:val="001B3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5E5"/>
    <w:rPr>
      <w:sz w:val="16"/>
      <w:vertAlign w:val="superscript"/>
    </w:rPr>
  </w:style>
  <w:style w:type="character" w:customStyle="1" w:styleId="Symbols">
    <w:name w:val="Symbols"/>
    <w:basedOn w:val="DefaultParagraphFont"/>
    <w:rsid w:val="001B35E5"/>
    <w:rPr>
      <w:rFonts w:ascii="Symbol" w:hAnsi="Symbol"/>
    </w:rPr>
  </w:style>
  <w:style w:type="character" w:customStyle="1" w:styleId="MenuOptions">
    <w:name w:val="Menu Options"/>
    <w:basedOn w:val="DefaultParagraphFont"/>
    <w:rsid w:val="001B3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5E5"/>
    <w:rPr>
      <w:b/>
    </w:rPr>
  </w:style>
  <w:style w:type="character" w:customStyle="1" w:styleId="Underlined">
    <w:name w:val="Underlined"/>
    <w:basedOn w:val="DefaultParagraphFont"/>
    <w:rsid w:val="001B35E5"/>
    <w:rPr>
      <w:u w:val="single"/>
    </w:rPr>
  </w:style>
  <w:style w:type="paragraph" w:customStyle="1" w:styleId="TableBodyTextRight">
    <w:name w:val="Table Body Text Right"/>
    <w:basedOn w:val="TableBodyText"/>
    <w:rsid w:val="001B3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5E5"/>
    <w:rPr>
      <w:sz w:val="18"/>
    </w:rPr>
  </w:style>
  <w:style w:type="paragraph" w:customStyle="1" w:styleId="BodySmallRight">
    <w:name w:val="Body Small Right"/>
    <w:basedOn w:val="BodyTextRight"/>
    <w:rsid w:val="001B35E5"/>
    <w:rPr>
      <w:sz w:val="18"/>
      <w:szCs w:val="18"/>
    </w:rPr>
  </w:style>
  <w:style w:type="paragraph" w:customStyle="1" w:styleId="MarginEdition">
    <w:name w:val="Margin Edition"/>
    <w:basedOn w:val="MarginNote"/>
    <w:rsid w:val="001B3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5E5"/>
    <w:rPr>
      <w:sz w:val="2"/>
      <w:szCs w:val="2"/>
    </w:rPr>
  </w:style>
  <w:style w:type="character" w:customStyle="1" w:styleId="Small">
    <w:name w:val="Small"/>
    <w:basedOn w:val="DefaultParagraphFont"/>
    <w:rsid w:val="001B35E5"/>
    <w:rPr>
      <w:sz w:val="16"/>
    </w:rPr>
  </w:style>
  <w:style w:type="paragraph" w:customStyle="1" w:styleId="WideTable">
    <w:name w:val="Wide Table"/>
    <w:basedOn w:val="Normal"/>
    <w:rsid w:val="001B3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5E5"/>
  </w:style>
  <w:style w:type="paragraph" w:styleId="Quote">
    <w:name w:val="Quote"/>
    <w:basedOn w:val="Heading1"/>
    <w:link w:val="QuoteChar"/>
    <w:qFormat/>
    <w:rsid w:val="001B3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5E5"/>
    <w:pPr>
      <w:pageBreakBefore/>
    </w:pPr>
  </w:style>
  <w:style w:type="paragraph" w:customStyle="1" w:styleId="Border">
    <w:name w:val="Border"/>
    <w:basedOn w:val="Normal"/>
    <w:qFormat/>
    <w:rsid w:val="001B3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5E5"/>
    <w:rPr>
      <w:u w:val="single"/>
    </w:rPr>
  </w:style>
  <w:style w:type="character" w:customStyle="1" w:styleId="BoldandItalics">
    <w:name w:val="Bold and Italics"/>
    <w:qFormat/>
    <w:rsid w:val="001B35E5"/>
    <w:rPr>
      <w:b/>
      <w:i/>
      <w:u w:val="none"/>
    </w:rPr>
  </w:style>
  <w:style w:type="paragraph" w:styleId="BalloonText">
    <w:name w:val="Balloon Text"/>
    <w:basedOn w:val="Normal"/>
    <w:link w:val="BalloonTextChar"/>
    <w:rsid w:val="001B3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5E5"/>
    <w:pPr>
      <w:spacing w:before="0" w:after="0"/>
    </w:pPr>
  </w:style>
  <w:style w:type="paragraph" w:customStyle="1" w:styleId="BodyTextBold">
    <w:name w:val="Body Text Bold"/>
    <w:basedOn w:val="BodyText"/>
    <w:qFormat/>
    <w:rsid w:val="001B35E5"/>
    <w:rPr>
      <w:b/>
    </w:rPr>
  </w:style>
  <w:style w:type="character" w:styleId="Hyperlink">
    <w:name w:val="Hyperlink"/>
    <w:basedOn w:val="DefaultParagraphFont"/>
    <w:uiPriority w:val="99"/>
    <w:unhideWhenUsed/>
    <w:rsid w:val="000203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4786</Characters>
  <Application>Microsoft Office Word</Application>
  <DocSecurity>0</DocSecurity>
  <Lines>154</Lines>
  <Paragraphs>139</Paragraphs>
  <ScaleCrop>false</ScaleCrop>
  <Company>Author-it Software Corporation Ltd.</Company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HLTANA011 Respond to anaesthesia related emergencies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