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A68" w:rsidP="005A5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HLTANA009 Monitor patients during anaesthesia</w:t>
      </w:r>
      <w:r>
        <w:fldChar w:fldCharType="end"/>
      </w:r>
    </w:p>
    <w:p w:rsidR="005A5A68" w:rsidP="005A5A68">
      <w:pPr>
        <w:pStyle w:val="Version"/>
        <w:sectPr w:rsidSect="00687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D7B" w:rsidP="00687D7B">
      <w:pPr>
        <w:pStyle w:val="SuperHeading"/>
      </w:pPr>
      <w:r w:rsidRPr="00687D7B">
        <w:t>HLTANA009 Monitor patients during anaesthesia</w:t>
      </w:r>
    </w:p>
    <w:p w:rsidR="00000000" w:rsidRPr="00687D7B" w:rsidP="00687D7B">
      <w:pPr>
        <w:pStyle w:val="Heading1"/>
      </w:pPr>
      <w:bookmarkStart w:id="1" w:name="O_1198909"/>
      <w:bookmarkEnd w:id="1"/>
      <w:r w:rsidRPr="00687D7B">
        <w:t>Modification History</w:t>
      </w:r>
    </w:p>
    <w:p w:rsidR="00000000" w:rsidRPr="00687D7B" w:rsidP="005A5A68">
      <w:pPr>
        <w:pStyle w:val="BodyText"/>
      </w:pPr>
      <w:r w:rsidRPr="00687D7B">
        <w:t xml:space="preserve">Supersedes and is not equivalent to HLTANA002 Monitor clients during anaesthesia. </w:t>
      </w:r>
    </w:p>
    <w:p w:rsidR="00000000" w:rsidRPr="00687D7B" w:rsidP="00687D7B">
      <w:pPr>
        <w:pStyle w:val="Heading1"/>
      </w:pPr>
      <w:bookmarkStart w:id="2" w:name="O_1198910"/>
      <w:bookmarkEnd w:id="2"/>
      <w:r w:rsidRPr="00687D7B">
        <w:t>Application</w:t>
      </w:r>
    </w:p>
    <w:p w:rsidR="00000000" w:rsidRPr="00687D7B" w:rsidP="005A5A68">
      <w:pPr>
        <w:pStyle w:val="BodyText"/>
      </w:pPr>
      <w:r w:rsidRPr="00687D7B">
        <w:t>This unit describes the skills and knowledge required to observe and monitor patients, taking a broad range of c</w:t>
      </w:r>
      <w:r w:rsidRPr="00687D7B">
        <w:t>linical tests and measurements.</w:t>
      </w:r>
    </w:p>
    <w:p w:rsidR="00000000" w:rsidRPr="00687D7B" w:rsidP="005A5A68">
      <w:pPr>
        <w:pStyle w:val="BodyText"/>
      </w:pPr>
      <w:r w:rsidRPr="00687D7B">
        <w:t>The unit applies to anaesthetic technicians working under the direction of, and in consultation with, an anaesthetist in any hospital or day surgery setting.</w:t>
      </w:r>
    </w:p>
    <w:p w:rsidR="00000000" w:rsidRPr="00687D7B" w:rsidP="005A5A68">
      <w:pPr>
        <w:pStyle w:val="BodyText"/>
      </w:pPr>
      <w:r w:rsidRPr="00687D7B">
        <w:t>The skills in this unit must be applied in accordance with Commonw</w:t>
      </w:r>
      <w:r w:rsidRPr="00687D7B">
        <w:t>ealth and State or Territory legislation, Australian standards and industry codes of practice.</w:t>
      </w:r>
    </w:p>
    <w:p w:rsidR="00000000" w:rsidRPr="00687D7B" w:rsidP="005A5A68">
      <w:pPr>
        <w:pStyle w:val="BodyText"/>
      </w:pPr>
      <w:r w:rsidRPr="00687D7B">
        <w:t>No occupational licensing, certification or specific legislative requirements apply to this unit at the time of publication.</w:t>
      </w:r>
    </w:p>
    <w:p w:rsidR="00000000" w:rsidRPr="00687D7B" w:rsidP="00687D7B">
      <w:pPr>
        <w:pStyle w:val="Heading1"/>
      </w:pPr>
      <w:bookmarkStart w:id="3" w:name="O_1198911"/>
      <w:bookmarkEnd w:id="3"/>
      <w:r w:rsidRPr="00687D7B">
        <w:t>Pre-requisite Uni</w:t>
      </w:r>
      <w:r w:rsidRPr="00687D7B">
        <w:t>t</w:t>
      </w:r>
    </w:p>
    <w:p w:rsidR="00000000" w:rsidRPr="00687D7B" w:rsidP="005A5A68">
      <w:pPr>
        <w:pStyle w:val="BodyText"/>
      </w:pPr>
      <w:r w:rsidRPr="00687D7B">
        <w:t xml:space="preserve">Nil </w:t>
      </w:r>
    </w:p>
    <w:p w:rsidR="00000000" w:rsidRPr="00687D7B" w:rsidP="00687D7B">
      <w:pPr>
        <w:pStyle w:val="Heading1"/>
      </w:pPr>
      <w:bookmarkStart w:id="4" w:name="O_1198912"/>
      <w:bookmarkEnd w:id="4"/>
      <w:r w:rsidRPr="00687D7B">
        <w:t>Competency Field</w:t>
      </w:r>
    </w:p>
    <w:p w:rsidR="00000000" w:rsidRPr="00687D7B" w:rsidP="005A5A68">
      <w:pPr>
        <w:pStyle w:val="BodyText"/>
      </w:pPr>
      <w:r w:rsidRPr="00687D7B">
        <w:t>Anaesthetic Technology</w:t>
      </w:r>
    </w:p>
    <w:p w:rsidR="00000000" w:rsidRPr="00687D7B" w:rsidP="00687D7B">
      <w:pPr>
        <w:pStyle w:val="Heading1"/>
      </w:pPr>
      <w:bookmarkStart w:id="5" w:name="O_1198913"/>
      <w:bookmarkEnd w:id="5"/>
      <w:r w:rsidRPr="00687D7B">
        <w:t>Unit Sector</w:t>
      </w:r>
    </w:p>
    <w:p w:rsidR="00000000" w:rsidRPr="00687D7B" w:rsidP="005A5A68">
      <w:pPr>
        <w:pStyle w:val="BodyText"/>
      </w:pPr>
      <w:r w:rsidRPr="00687D7B">
        <w:t>Health</w:t>
      </w:r>
    </w:p>
    <w:p w:rsidR="00000000" w:rsidRPr="00687D7B" w:rsidP="00687D7B">
      <w:pPr>
        <w:pStyle w:val="Heading1"/>
      </w:pPr>
      <w:bookmarkStart w:id="6" w:name="O_1198914"/>
      <w:bookmarkEnd w:id="6"/>
      <w:r w:rsidRPr="00687D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BodyText"/>
            </w:pPr>
            <w:r w:rsidRPr="00687D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BodyText"/>
              <w:rPr>
                <w:lang w:val="en-NZ"/>
              </w:rPr>
            </w:pPr>
            <w:r w:rsidRPr="00687D7B">
              <w:rPr>
                <w:rStyle w:val="SpecialBold"/>
              </w:rPr>
              <w:t>PERFORMANCE</w:t>
            </w:r>
            <w:r w:rsidRPr="00687D7B">
              <w:t xml:space="preserve"> </w:t>
            </w:r>
            <w:r w:rsidRPr="00687D7B">
              <w:rPr>
                <w:rStyle w:val="SpecialBold"/>
              </w:rPr>
              <w:t>CRITERIA</w:t>
            </w:r>
          </w:p>
        </w:tc>
      </w:tr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BodyText"/>
            </w:pPr>
            <w:r w:rsidRPr="00687D7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BodyText"/>
              <w:rPr>
                <w:lang w:val="en-NZ"/>
              </w:rPr>
            </w:pPr>
            <w:r w:rsidRPr="00687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List"/>
              <w:rPr>
                <w:lang w:val="en-NZ"/>
              </w:rPr>
            </w:pPr>
            <w:r w:rsidRPr="00687D7B">
              <w:t>1. Observe patient.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List"/>
            </w:pPr>
            <w:r w:rsidRPr="00687D7B">
              <w:t>1.1. Read and interpret information in patient medical records.</w:t>
            </w:r>
          </w:p>
          <w:p w:rsidR="00000000" w:rsidRPr="00687D7B" w:rsidP="00687D7B">
            <w:pPr>
              <w:pStyle w:val="List"/>
            </w:pPr>
            <w:r w:rsidRPr="00687D7B">
              <w:t xml:space="preserve">1.2. Check patient’s physiological parameters as directed. </w:t>
            </w:r>
          </w:p>
          <w:p w:rsidR="00000000" w:rsidRPr="00687D7B" w:rsidP="00687D7B">
            <w:pPr>
              <w:pStyle w:val="List"/>
            </w:pPr>
            <w:r w:rsidRPr="00687D7B">
              <w:t>1.3. Identify d</w:t>
            </w:r>
            <w:r w:rsidRPr="00687D7B">
              <w:t xml:space="preserve">eviations from acceptable limits, check equipment for true reading and report to the anaesthetist. </w:t>
            </w:r>
          </w:p>
          <w:p w:rsidR="00000000" w:rsidP="00687D7B">
            <w:pPr>
              <w:pStyle w:val="List"/>
              <w:rPr>
                <w:lang w:val="en-NZ"/>
              </w:rPr>
            </w:pPr>
            <w:r w:rsidRPr="00687D7B">
              <w:t>1.4. Identify and respond to signs of patient discomfort, distress or adverse reaction within role responsibility.</w:t>
            </w:r>
          </w:p>
        </w:tc>
      </w:tr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List"/>
              <w:rPr>
                <w:lang w:val="en-NZ"/>
              </w:rPr>
            </w:pPr>
            <w:r w:rsidRPr="00687D7B">
              <w:t>2.  Take measurements and samples.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List"/>
            </w:pPr>
            <w:r w:rsidRPr="00687D7B">
              <w:t>2.1. Prepare appropriate equipment for test or measurement being conducted.</w:t>
            </w:r>
          </w:p>
          <w:p w:rsidR="00000000" w:rsidRPr="00687D7B" w:rsidP="00687D7B">
            <w:pPr>
              <w:pStyle w:val="List"/>
            </w:pPr>
            <w:r w:rsidRPr="00687D7B">
              <w:t>2.2. Prepare appropriate Personal Protection Equipment (PPE).</w:t>
            </w:r>
          </w:p>
          <w:p w:rsidR="00000000" w:rsidRPr="00687D7B" w:rsidP="00687D7B">
            <w:pPr>
              <w:pStyle w:val="List"/>
            </w:pPr>
            <w:r w:rsidRPr="00687D7B">
              <w:t>2.3. Prepare patient according to requirements of test or measurement.</w:t>
            </w:r>
          </w:p>
          <w:p w:rsidR="00000000" w:rsidRPr="00687D7B" w:rsidP="00687D7B">
            <w:pPr>
              <w:pStyle w:val="List"/>
            </w:pPr>
            <w:r w:rsidRPr="00687D7B">
              <w:t>2.4. Maintain aseptic technique during collecti</w:t>
            </w:r>
            <w:r w:rsidRPr="00687D7B">
              <w:t>on of body fluid for analysis.</w:t>
            </w:r>
          </w:p>
          <w:p w:rsidR="00000000" w:rsidRPr="00687D7B" w:rsidP="00687D7B">
            <w:pPr>
              <w:pStyle w:val="List"/>
            </w:pPr>
            <w:r w:rsidRPr="00687D7B">
              <w:t xml:space="preserve">2.5. Accurately measure patient’s fluid intake and output or loss. </w:t>
            </w:r>
          </w:p>
          <w:p w:rsidR="00000000" w:rsidRPr="00687D7B" w:rsidP="00687D7B">
            <w:pPr>
              <w:pStyle w:val="List"/>
            </w:pPr>
            <w:r w:rsidRPr="00687D7B">
              <w:t>2.6. Perform measurement or take samples in accordance with manufacturers’ guidelines and organisational policies and procedures.</w:t>
            </w:r>
          </w:p>
          <w:p w:rsidR="00000000" w:rsidP="00687D7B">
            <w:pPr>
              <w:pStyle w:val="List"/>
              <w:rPr>
                <w:lang w:val="en-NZ"/>
              </w:rPr>
            </w:pPr>
            <w:r w:rsidRPr="00687D7B">
              <w:t>2.7. Determine quality of m</w:t>
            </w:r>
            <w:r w:rsidRPr="00687D7B">
              <w:t>easurement or sample based on established procedures.</w:t>
            </w:r>
          </w:p>
        </w:tc>
      </w:tr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List"/>
              <w:rPr>
                <w:lang w:val="en-NZ"/>
              </w:rPr>
            </w:pPr>
            <w:r w:rsidRPr="00687D7B">
              <w:t>3.  Report measurements.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List"/>
            </w:pPr>
            <w:r w:rsidRPr="00687D7B">
              <w:t>3.1. Read test results and report to the anaesthetist.</w:t>
            </w:r>
          </w:p>
          <w:p w:rsidR="00000000" w:rsidRPr="00687D7B" w:rsidP="00687D7B">
            <w:pPr>
              <w:pStyle w:val="List"/>
            </w:pPr>
            <w:r w:rsidRPr="00687D7B">
              <w:t>3.2. Promptly identify and report abnormal findings to the anaesthetist.</w:t>
            </w:r>
          </w:p>
          <w:p w:rsidR="00000000" w:rsidP="00687D7B">
            <w:pPr>
              <w:pStyle w:val="List"/>
              <w:rPr>
                <w:lang w:val="en-NZ"/>
              </w:rPr>
            </w:pPr>
            <w:r w:rsidRPr="00687D7B">
              <w:t>3.3. Document results of measurement or ensure d</w:t>
            </w:r>
            <w:r w:rsidRPr="00687D7B">
              <w:t>ocumentation is completed.</w:t>
            </w:r>
          </w:p>
        </w:tc>
      </w:tr>
      <w:tr w:rsidTr="00687D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D7B">
            <w:pPr>
              <w:pStyle w:val="List"/>
              <w:rPr>
                <w:lang w:val="en-NZ"/>
              </w:rPr>
            </w:pPr>
            <w:r w:rsidRPr="00687D7B">
              <w:t>4.  Decontaminate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D7B" w:rsidP="00687D7B">
            <w:pPr>
              <w:pStyle w:val="List"/>
            </w:pPr>
            <w:r w:rsidRPr="00687D7B">
              <w:t>4.1. Following the conclusion of the procedure, decontaminate monitoring equipment in accordance with organisational policies and procedures.</w:t>
            </w:r>
          </w:p>
          <w:p w:rsidR="00000000" w:rsidRPr="00687D7B" w:rsidP="00687D7B">
            <w:pPr>
              <w:pStyle w:val="List"/>
            </w:pPr>
            <w:r w:rsidRPr="00687D7B">
              <w:t>4.2. Store equipment ready for next use.</w:t>
            </w:r>
          </w:p>
        </w:tc>
      </w:tr>
    </w:tbl>
    <w:p w:rsidR="00000000" w:rsidRPr="00687D7B" w:rsidP="00687D7B">
      <w:pPr>
        <w:pStyle w:val="BodyText"/>
      </w:pPr>
    </w:p>
    <w:p w:rsidR="00000000" w:rsidRPr="00687D7B" w:rsidP="00687D7B">
      <w:pPr>
        <w:pStyle w:val="AllowPageBreak"/>
      </w:pPr>
    </w:p>
    <w:p w:rsidR="00000000" w:rsidRPr="00687D7B" w:rsidP="00687D7B">
      <w:pPr>
        <w:pStyle w:val="Heading1"/>
      </w:pPr>
      <w:bookmarkStart w:id="7" w:name="O_1198915"/>
      <w:bookmarkEnd w:id="7"/>
      <w:r w:rsidRPr="00687D7B">
        <w:t>Foundation Skills</w:t>
      </w:r>
    </w:p>
    <w:p w:rsidR="00000000" w:rsidRPr="00687D7B" w:rsidP="005A5A68">
      <w:pPr>
        <w:pStyle w:val="BodyText"/>
      </w:pPr>
      <w:r w:rsidRPr="00687D7B">
        <w:t>Foundation skills essential to performance are explicit in the performance criteria of this unit of competency.</w:t>
      </w:r>
    </w:p>
    <w:p w:rsidR="00000000" w:rsidRPr="00687D7B" w:rsidP="00687D7B">
      <w:pPr>
        <w:pStyle w:val="Heading1"/>
      </w:pPr>
      <w:bookmarkStart w:id="8" w:name="O_1198917"/>
      <w:bookmarkEnd w:id="8"/>
      <w:r w:rsidRPr="00687D7B">
        <w:t>Unit Mapping Information</w:t>
      </w:r>
    </w:p>
    <w:p w:rsidR="00000000" w:rsidRPr="00687D7B" w:rsidP="005A5A68">
      <w:pPr>
        <w:pStyle w:val="BodyText"/>
      </w:pPr>
      <w:r w:rsidRPr="00687D7B">
        <w:t>Supersedes and is not equivalent to HLTANA002 Monitor clients du</w:t>
      </w:r>
      <w:r w:rsidRPr="00687D7B">
        <w:t xml:space="preserve">ring anaesthesia. </w:t>
      </w:r>
    </w:p>
    <w:p w:rsidR="00000000" w:rsidRPr="00687D7B" w:rsidP="00687D7B">
      <w:pPr>
        <w:pStyle w:val="Heading1"/>
      </w:pPr>
      <w:bookmarkStart w:id="9" w:name="O_1198924"/>
      <w:bookmarkEnd w:id="9"/>
      <w:r w:rsidRPr="00687D7B">
        <w:t>Links</w:t>
      </w:r>
    </w:p>
    <w:p w:rsidR="00000000" w:rsidRPr="00687D7B" w:rsidP="005A5A68">
      <w:pPr>
        <w:pStyle w:val="BodyText"/>
      </w:pPr>
      <w:r w:rsidRPr="00687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20A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7D7B" w:rsidP="00687D7B"/>
    <w:sectPr w:rsidSect="00687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B" w:rsidRPr="005A5A68" w:rsidP="005A5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68" w:rsidP="0068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A68" w:rsidP="0068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A68" w:rsidP="00687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D7B" w:rsidRPr="005A5A68" w:rsidP="005A5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A68" w:rsidRPr="002D2AF8" w:rsidP="0068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HLTANA009 Monitor patients during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A5A68" w:rsidP="00687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D7B"/>
  </w:style>
  <w:style w:type="character" w:customStyle="1" w:styleId="Heading1Char">
    <w:name w:val="Heading 1 Char"/>
    <w:basedOn w:val="DefaultParagraphFont"/>
    <w:link w:val="Heading1"/>
    <w:rsid w:val="00687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D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7D7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87D7B"/>
    <w:rPr>
      <w:b/>
      <w:spacing w:val="0"/>
    </w:rPr>
  </w:style>
  <w:style w:type="character" w:styleId="Emphasis">
    <w:name w:val="Emphasis"/>
    <w:basedOn w:val="DefaultParagraphFont"/>
    <w:qFormat/>
    <w:rsid w:val="00687D7B"/>
    <w:rPr>
      <w:i/>
    </w:rPr>
  </w:style>
  <w:style w:type="paragraph" w:customStyle="1" w:styleId="SuperHeading">
    <w:name w:val="SuperHeading"/>
    <w:basedOn w:val="Normal"/>
    <w:rsid w:val="00687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D7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87D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7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D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D7B"/>
  </w:style>
  <w:style w:type="paragraph" w:styleId="TableofFigures">
    <w:name w:val="table of figures"/>
    <w:basedOn w:val="Normal"/>
    <w:next w:val="Normal"/>
    <w:semiHidden/>
    <w:rsid w:val="00687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D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7D7B"/>
    <w:rPr>
      <w:rFonts w:ascii="Wingdings" w:hAnsi="Wingdings"/>
    </w:rPr>
  </w:style>
  <w:style w:type="paragraph" w:customStyle="1" w:styleId="TableHeading">
    <w:name w:val="Table Heading"/>
    <w:basedOn w:val="HeadingBase"/>
    <w:rsid w:val="00687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D7B"/>
    <w:rPr>
      <w:color w:val="0033CC"/>
      <w:u w:val="none"/>
    </w:rPr>
  </w:style>
  <w:style w:type="paragraph" w:customStyle="1" w:styleId="BodyTextRight">
    <w:name w:val="Body Text Right"/>
    <w:basedOn w:val="BodyText"/>
    <w:rsid w:val="00687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D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D7B"/>
    <w:rPr>
      <w:sz w:val="32"/>
    </w:rPr>
  </w:style>
  <w:style w:type="paragraph" w:customStyle="1" w:styleId="HeadingProcedure">
    <w:name w:val="Heading Procedure"/>
    <w:basedOn w:val="HeadingBase"/>
    <w:next w:val="Normal"/>
    <w:rsid w:val="00687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D7B"/>
    <w:pPr>
      <w:spacing w:before="60" w:after="60"/>
    </w:pPr>
  </w:style>
  <w:style w:type="paragraph" w:styleId="ListContinue">
    <w:name w:val="List Continue"/>
    <w:basedOn w:val="List"/>
    <w:rsid w:val="00687D7B"/>
    <w:pPr>
      <w:ind w:firstLine="0"/>
    </w:pPr>
  </w:style>
  <w:style w:type="paragraph" w:customStyle="1" w:styleId="ListNote">
    <w:name w:val="List Note"/>
    <w:basedOn w:val="List"/>
    <w:rsid w:val="00687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D7B"/>
    <w:rPr>
      <w:rFonts w:ascii="Courier New" w:hAnsi="Courier New"/>
    </w:rPr>
  </w:style>
  <w:style w:type="paragraph" w:customStyle="1" w:styleId="NoteBullet">
    <w:name w:val="Note Bullet"/>
    <w:basedOn w:val="Note"/>
    <w:rsid w:val="00687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D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7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D7B"/>
    <w:rPr>
      <w:b/>
      <w:smallCaps/>
    </w:rPr>
  </w:style>
  <w:style w:type="paragraph" w:customStyle="1" w:styleId="TableListNumber">
    <w:name w:val="Table List Number"/>
    <w:basedOn w:val="ListNumber"/>
    <w:rsid w:val="00687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D7B"/>
    <w:pPr>
      <w:numPr>
        <w:numId w:val="7"/>
      </w:numPr>
    </w:pPr>
  </w:style>
  <w:style w:type="paragraph" w:customStyle="1" w:styleId="ListAlpha2">
    <w:name w:val="List Alpha 2"/>
    <w:basedOn w:val="List2"/>
    <w:rsid w:val="00687D7B"/>
    <w:pPr>
      <w:numPr>
        <w:numId w:val="6"/>
      </w:numPr>
    </w:pPr>
  </w:style>
  <w:style w:type="paragraph" w:styleId="List2">
    <w:name w:val="List 2"/>
    <w:basedOn w:val="BodyText"/>
    <w:rsid w:val="00687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D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D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7D7B"/>
    <w:pPr>
      <w:numPr>
        <w:numId w:val="2"/>
      </w:numPr>
    </w:pPr>
  </w:style>
  <w:style w:type="paragraph" w:styleId="ListContinue2">
    <w:name w:val="List Continue 2"/>
    <w:basedOn w:val="List2"/>
    <w:rsid w:val="00687D7B"/>
    <w:pPr>
      <w:ind w:firstLine="0"/>
    </w:pPr>
  </w:style>
  <w:style w:type="paragraph" w:styleId="ListContinue3">
    <w:name w:val="List Continue 3"/>
    <w:basedOn w:val="List3"/>
    <w:rsid w:val="00687D7B"/>
    <w:pPr>
      <w:ind w:left="1021" w:firstLine="0"/>
    </w:pPr>
  </w:style>
  <w:style w:type="paragraph" w:styleId="ListContinue4">
    <w:name w:val="List Continue 4"/>
    <w:basedOn w:val="List4"/>
    <w:rsid w:val="00687D7B"/>
    <w:pPr>
      <w:ind w:firstLine="0"/>
    </w:pPr>
  </w:style>
  <w:style w:type="paragraph" w:styleId="ListContinue5">
    <w:name w:val="List Continue 5"/>
    <w:basedOn w:val="List5"/>
    <w:rsid w:val="00687D7B"/>
    <w:pPr>
      <w:ind w:firstLine="0"/>
    </w:pPr>
  </w:style>
  <w:style w:type="paragraph" w:styleId="ListNumber3">
    <w:name w:val="List Number 3"/>
    <w:basedOn w:val="List3"/>
    <w:rsid w:val="00687D7B"/>
    <w:pPr>
      <w:numPr>
        <w:numId w:val="3"/>
      </w:numPr>
    </w:pPr>
  </w:style>
  <w:style w:type="paragraph" w:styleId="ListNumber4">
    <w:name w:val="List Number 4"/>
    <w:basedOn w:val="List4"/>
    <w:rsid w:val="00687D7B"/>
    <w:pPr>
      <w:numPr>
        <w:numId w:val="4"/>
      </w:numPr>
    </w:pPr>
  </w:style>
  <w:style w:type="paragraph" w:styleId="ListNumber5">
    <w:name w:val="List Number 5"/>
    <w:basedOn w:val="List5"/>
    <w:rsid w:val="00687D7B"/>
    <w:pPr>
      <w:numPr>
        <w:numId w:val="5"/>
      </w:numPr>
    </w:pPr>
  </w:style>
  <w:style w:type="paragraph" w:styleId="BlockText">
    <w:name w:val="Block Text"/>
    <w:basedOn w:val="Normal"/>
    <w:rsid w:val="00687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D7B"/>
    <w:rPr>
      <w:sz w:val="16"/>
      <w:vertAlign w:val="superscript"/>
    </w:rPr>
  </w:style>
  <w:style w:type="character" w:customStyle="1" w:styleId="Symbols">
    <w:name w:val="Symbols"/>
    <w:basedOn w:val="DefaultParagraphFont"/>
    <w:rsid w:val="00687D7B"/>
    <w:rPr>
      <w:rFonts w:ascii="Symbol" w:hAnsi="Symbol"/>
    </w:rPr>
  </w:style>
  <w:style w:type="character" w:customStyle="1" w:styleId="MenuOptions">
    <w:name w:val="Menu Options"/>
    <w:basedOn w:val="DefaultParagraphFont"/>
    <w:rsid w:val="00687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D7B"/>
    <w:rPr>
      <w:b/>
    </w:rPr>
  </w:style>
  <w:style w:type="character" w:customStyle="1" w:styleId="Underlined">
    <w:name w:val="Underlined"/>
    <w:basedOn w:val="DefaultParagraphFont"/>
    <w:rsid w:val="00687D7B"/>
    <w:rPr>
      <w:u w:val="single"/>
    </w:rPr>
  </w:style>
  <w:style w:type="paragraph" w:customStyle="1" w:styleId="TableBodyTextRight">
    <w:name w:val="Table Body Text Right"/>
    <w:basedOn w:val="TableBodyText"/>
    <w:rsid w:val="00687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D7B"/>
    <w:rPr>
      <w:sz w:val="18"/>
    </w:rPr>
  </w:style>
  <w:style w:type="paragraph" w:customStyle="1" w:styleId="BodySmallRight">
    <w:name w:val="Body Small Right"/>
    <w:basedOn w:val="BodyTextRight"/>
    <w:rsid w:val="00687D7B"/>
    <w:rPr>
      <w:sz w:val="18"/>
      <w:szCs w:val="18"/>
    </w:rPr>
  </w:style>
  <w:style w:type="paragraph" w:customStyle="1" w:styleId="MarginEdition">
    <w:name w:val="Margin Edition"/>
    <w:basedOn w:val="MarginNote"/>
    <w:rsid w:val="00687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D7B"/>
    <w:rPr>
      <w:sz w:val="2"/>
      <w:szCs w:val="2"/>
    </w:rPr>
  </w:style>
  <w:style w:type="character" w:customStyle="1" w:styleId="Small">
    <w:name w:val="Small"/>
    <w:basedOn w:val="DefaultParagraphFont"/>
    <w:rsid w:val="00687D7B"/>
    <w:rPr>
      <w:sz w:val="16"/>
    </w:rPr>
  </w:style>
  <w:style w:type="paragraph" w:customStyle="1" w:styleId="WideTable">
    <w:name w:val="Wide Table"/>
    <w:basedOn w:val="Normal"/>
    <w:rsid w:val="00687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D7B"/>
  </w:style>
  <w:style w:type="paragraph" w:styleId="Quote">
    <w:name w:val="Quote"/>
    <w:basedOn w:val="Heading1"/>
    <w:link w:val="QuoteChar"/>
    <w:qFormat/>
    <w:rsid w:val="00687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D7B"/>
    <w:pPr>
      <w:pageBreakBefore/>
    </w:pPr>
  </w:style>
  <w:style w:type="paragraph" w:customStyle="1" w:styleId="Border">
    <w:name w:val="Border"/>
    <w:basedOn w:val="Normal"/>
    <w:qFormat/>
    <w:rsid w:val="00687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D7B"/>
    <w:rPr>
      <w:u w:val="single"/>
    </w:rPr>
  </w:style>
  <w:style w:type="character" w:customStyle="1" w:styleId="BoldandItalics">
    <w:name w:val="Bold and Italics"/>
    <w:qFormat/>
    <w:rsid w:val="00687D7B"/>
    <w:rPr>
      <w:b/>
      <w:i/>
      <w:u w:val="none"/>
    </w:rPr>
  </w:style>
  <w:style w:type="paragraph" w:styleId="BalloonText">
    <w:name w:val="Balloon Text"/>
    <w:basedOn w:val="Normal"/>
    <w:link w:val="BalloonTextChar"/>
    <w:rsid w:val="00687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D7B"/>
    <w:pPr>
      <w:spacing w:before="0" w:after="0"/>
    </w:pPr>
  </w:style>
  <w:style w:type="paragraph" w:customStyle="1" w:styleId="BodyTextBold">
    <w:name w:val="Body Text Bold"/>
    <w:basedOn w:val="BodyText"/>
    <w:qFormat/>
    <w:rsid w:val="00687D7B"/>
    <w:rPr>
      <w:b/>
    </w:rPr>
  </w:style>
  <w:style w:type="character" w:styleId="Hyperlink">
    <w:name w:val="Hyperlink"/>
    <w:basedOn w:val="DefaultParagraphFont"/>
    <w:uiPriority w:val="99"/>
    <w:unhideWhenUsed/>
    <w:rsid w:val="005A5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2679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HLTANA009 Monitor patients during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