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99B" w:rsidP="00783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HLTANA009 Monitor patients during anaesthesia</w:t>
      </w:r>
      <w:r>
        <w:fldChar w:fldCharType="end"/>
      </w:r>
    </w:p>
    <w:p w:rsidR="0078399B" w:rsidP="0078399B">
      <w:pPr>
        <w:pStyle w:val="Version"/>
        <w:sectPr w:rsidSect="00402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C47" w:rsidP="00402C47">
      <w:pPr>
        <w:pStyle w:val="SuperHeading"/>
      </w:pPr>
      <w:r w:rsidRPr="00402C47">
        <w:t>Assessment Requirements for HLTANA009 Monitor patients during anaesthesia</w:t>
      </w:r>
    </w:p>
    <w:p w:rsidR="00000000" w:rsidRPr="00402C47" w:rsidP="00402C47">
      <w:pPr>
        <w:pStyle w:val="Heading1"/>
      </w:pPr>
      <w:bookmarkStart w:id="1" w:name="O_1198919"/>
      <w:bookmarkEnd w:id="1"/>
      <w:r w:rsidRPr="00402C47">
        <w:t>Modification History</w:t>
      </w:r>
    </w:p>
    <w:p w:rsidR="00000000" w:rsidRPr="00402C47" w:rsidP="0078399B">
      <w:pPr>
        <w:pStyle w:val="BodyText"/>
      </w:pPr>
      <w:r w:rsidRPr="00402C47">
        <w:t xml:space="preserve">Supersedes and is not equivalent to HLTANA002 Monitor clients during anaesthesia. </w:t>
      </w:r>
    </w:p>
    <w:p w:rsidR="00000000" w:rsidRPr="00402C47" w:rsidP="00402C47">
      <w:pPr>
        <w:pStyle w:val="Heading1"/>
      </w:pPr>
      <w:bookmarkStart w:id="2" w:name="O_1198920"/>
      <w:bookmarkEnd w:id="2"/>
      <w:r w:rsidRPr="00402C47">
        <w:t>Performance Evidence</w:t>
      </w:r>
    </w:p>
    <w:p w:rsidR="00000000" w:rsidRPr="00402C47" w:rsidP="0078399B">
      <w:pPr>
        <w:pStyle w:val="BodyText"/>
      </w:pPr>
      <w:r w:rsidRPr="00402C47">
        <w:t>Evidence of the ability to complete tasks outlined in elements and performance criteria of this unit in the context of the job role, and:</w:t>
      </w:r>
    </w:p>
    <w:p w:rsidR="00000000" w:rsidRPr="00402C47" w:rsidP="00402C47">
      <w:pPr>
        <w:pStyle w:val="ListBullet"/>
      </w:pPr>
      <w:r w:rsidRPr="00402C47">
        <w:t>provide monitoring assistance to an anaesthetist during at least 10 procedures and follow established technical and i</w:t>
      </w:r>
      <w:r w:rsidRPr="00402C47">
        <w:t>nfection control procedures to undertake each of the following clinical measurements and tests at least twice:</w:t>
      </w:r>
    </w:p>
    <w:p w:rsidR="00000000" w:rsidRPr="00402C47" w:rsidP="00402C47">
      <w:pPr>
        <w:pStyle w:val="ListBullet2"/>
      </w:pPr>
      <w:r w:rsidRPr="00402C47">
        <w:t xml:space="preserve">arterial blood gases </w:t>
      </w:r>
    </w:p>
    <w:p w:rsidR="00000000" w:rsidRPr="00402C47" w:rsidP="00402C47">
      <w:pPr>
        <w:pStyle w:val="ListBullet2"/>
      </w:pPr>
      <w:r w:rsidRPr="00402C47">
        <w:t>blood pressure</w:t>
      </w:r>
    </w:p>
    <w:p w:rsidR="00000000" w:rsidRPr="00402C47" w:rsidP="00402C47">
      <w:pPr>
        <w:pStyle w:val="ListBullet2"/>
      </w:pPr>
      <w:r w:rsidRPr="00402C47">
        <w:t xml:space="preserve">blood glucose level </w:t>
      </w:r>
    </w:p>
    <w:p w:rsidR="00000000" w:rsidRPr="00402C47" w:rsidP="00402C47">
      <w:pPr>
        <w:pStyle w:val="ListBullet2"/>
      </w:pPr>
      <w:r w:rsidRPr="00402C47">
        <w:t>circulation</w:t>
      </w:r>
    </w:p>
    <w:p w:rsidR="00000000" w:rsidRPr="00402C47" w:rsidP="00402C47">
      <w:pPr>
        <w:pStyle w:val="ListBullet2"/>
      </w:pPr>
      <w:r w:rsidRPr="00402C47">
        <w:t>electrocardiography (ECG)</w:t>
      </w:r>
    </w:p>
    <w:p w:rsidR="00000000" w:rsidRPr="00402C47" w:rsidP="00402C47">
      <w:pPr>
        <w:pStyle w:val="ListBullet2"/>
      </w:pPr>
      <w:r w:rsidRPr="00402C47">
        <w:t>haemoglobin</w:t>
      </w:r>
    </w:p>
    <w:p w:rsidR="00000000" w:rsidRPr="00402C47" w:rsidP="00402C47">
      <w:pPr>
        <w:pStyle w:val="ListBullet2"/>
      </w:pPr>
      <w:r w:rsidRPr="00402C47">
        <w:t>inspired and expired gases (Fraction</w:t>
      </w:r>
      <w:r w:rsidRPr="00402C47">
        <w:t xml:space="preserve"> of inspiratory oxygen (FiO2), Fraction of expiratory oxygen (FeO2), end-tidal carbon dioxide (ETCO2), tidal volume (TV), inspiratory pressure, minute volume (MV), respiratory rate (RR), minimal alveolar concentration (MAC)</w:t>
      </w:r>
    </w:p>
    <w:p w:rsidR="00000000" w:rsidRPr="00402C47" w:rsidP="00402C47">
      <w:pPr>
        <w:pStyle w:val="ListBullet2"/>
      </w:pPr>
      <w:r w:rsidRPr="00402C47">
        <w:t>level of consciousness</w:t>
      </w:r>
    </w:p>
    <w:p w:rsidR="00000000" w:rsidRPr="00402C47" w:rsidP="00402C47">
      <w:pPr>
        <w:pStyle w:val="ListBullet2"/>
      </w:pPr>
      <w:r w:rsidRPr="00402C47">
        <w:t>neuromuscular function</w:t>
      </w:r>
    </w:p>
    <w:p w:rsidR="00000000" w:rsidRPr="00402C47" w:rsidP="00402C47">
      <w:pPr>
        <w:pStyle w:val="ListBullet2"/>
      </w:pPr>
      <w:r w:rsidRPr="00402C47">
        <w:t>oxygenation or oximetry, FiO2, partial pressure oxygen (PaO2)</w:t>
      </w:r>
    </w:p>
    <w:p w:rsidR="00000000" w:rsidRPr="00402C47" w:rsidP="00402C47">
      <w:pPr>
        <w:pStyle w:val="ListBullet2"/>
      </w:pPr>
      <w:r w:rsidRPr="00402C47">
        <w:t>pulse</w:t>
      </w:r>
    </w:p>
    <w:p w:rsidR="00000000" w:rsidRPr="00402C47" w:rsidP="00402C47">
      <w:pPr>
        <w:pStyle w:val="ListBullet2"/>
      </w:pPr>
      <w:r w:rsidRPr="00402C47">
        <w:t>respiration</w:t>
      </w:r>
    </w:p>
    <w:p w:rsidR="00000000" w:rsidRPr="00402C47" w:rsidP="00402C47">
      <w:pPr>
        <w:pStyle w:val="ListBullet2"/>
      </w:pPr>
      <w:r w:rsidRPr="00402C47">
        <w:t>temperature</w:t>
      </w:r>
    </w:p>
    <w:p w:rsidR="00000000" w:rsidRPr="00402C47" w:rsidP="00402C47">
      <w:pPr>
        <w:pStyle w:val="ListBullet2"/>
      </w:pPr>
      <w:r w:rsidRPr="00402C47">
        <w:t>fluid balance</w:t>
      </w:r>
    </w:p>
    <w:p w:rsidR="00000000" w:rsidRPr="00402C47" w:rsidP="00402C47">
      <w:pPr>
        <w:pStyle w:val="ListBullet2"/>
      </w:pPr>
      <w:r w:rsidRPr="00402C47">
        <w:t>bispectral index</w:t>
      </w:r>
    </w:p>
    <w:p w:rsidR="00000000" w:rsidRPr="00402C47" w:rsidP="00402C47">
      <w:pPr>
        <w:pStyle w:val="ListBullet"/>
      </w:pPr>
      <w:r w:rsidRPr="00402C47">
        <w:t>perform the activities outlined in the performance criteria of this unit during a period of at least 360 hour</w:t>
      </w:r>
      <w:r w:rsidRPr="00402C47">
        <w:t>s of work related to anaesthetic technology in a clinical workplace environment. These 360 hours may be applied collectively across all units of competency that include the requirement for workplace hours for the purposes of assessment.</w:t>
      </w:r>
    </w:p>
    <w:p w:rsidR="00000000" w:rsidRPr="00402C47" w:rsidP="00402C47">
      <w:pPr>
        <w:pStyle w:val="AllowPageBreak"/>
      </w:pPr>
    </w:p>
    <w:p w:rsidR="00000000" w:rsidRPr="00402C47" w:rsidP="00402C47">
      <w:pPr>
        <w:pStyle w:val="Heading1"/>
      </w:pPr>
      <w:bookmarkStart w:id="3" w:name="O_1198921"/>
      <w:bookmarkEnd w:id="3"/>
      <w:r w:rsidRPr="00402C47">
        <w:t>Knowledge Evidence</w:t>
      </w:r>
    </w:p>
    <w:p w:rsidR="00000000" w:rsidRPr="00402C47" w:rsidP="0078399B">
      <w:pPr>
        <w:pStyle w:val="BodyText"/>
      </w:pPr>
      <w:r w:rsidRPr="00402C47">
        <w:t>Demonstrated knowledge required to complete the tasks outlined in elements and performance criteria of this unit:</w:t>
      </w:r>
    </w:p>
    <w:p w:rsidR="00000000" w:rsidRPr="00402C47" w:rsidP="00402C47">
      <w:pPr>
        <w:pStyle w:val="ListBullet"/>
      </w:pPr>
      <w:r w:rsidRPr="00402C47">
        <w:t>national, state or territory legal and ethical considerations for patient monitoring, and how these are applied in organis</w:t>
      </w:r>
      <w:r w:rsidRPr="00402C47">
        <w:t>ations:</w:t>
      </w:r>
    </w:p>
    <w:p w:rsidR="00000000" w:rsidRPr="00402C47" w:rsidP="00402C47">
      <w:pPr>
        <w:pStyle w:val="ListBullet2"/>
      </w:pPr>
      <w:r w:rsidRPr="00402C47">
        <w:t>codes of practice</w:t>
      </w:r>
    </w:p>
    <w:p w:rsidR="00000000" w:rsidRPr="00402C47" w:rsidP="00402C47">
      <w:pPr>
        <w:pStyle w:val="ListBullet2"/>
      </w:pPr>
      <w:r w:rsidRPr="00402C47">
        <w:t>duty of care</w:t>
      </w:r>
    </w:p>
    <w:p w:rsidR="00000000" w:rsidRPr="00402C47" w:rsidP="00402C47">
      <w:pPr>
        <w:pStyle w:val="ListBullet2"/>
      </w:pPr>
      <w:r w:rsidRPr="00402C47">
        <w:t xml:space="preserve">infection prevention and control </w:t>
      </w:r>
    </w:p>
    <w:p w:rsidR="00000000" w:rsidRPr="00402C47" w:rsidP="00402C47">
      <w:pPr>
        <w:pStyle w:val="ListBullet2"/>
      </w:pPr>
      <w:r w:rsidRPr="00402C47">
        <w:t xml:space="preserve">informed consent </w:t>
      </w:r>
    </w:p>
    <w:p w:rsidR="00000000" w:rsidRPr="00402C47" w:rsidP="00402C47">
      <w:pPr>
        <w:pStyle w:val="ListBullet2"/>
      </w:pPr>
      <w:r w:rsidRPr="00402C47">
        <w:t xml:space="preserve">mandatory reporting </w:t>
      </w:r>
    </w:p>
    <w:p w:rsidR="00000000" w:rsidRPr="00402C47" w:rsidP="00402C47">
      <w:pPr>
        <w:pStyle w:val="ListBullet2"/>
      </w:pPr>
      <w:r w:rsidRPr="00402C47">
        <w:t>manufacturers’ guidelines</w:t>
      </w:r>
    </w:p>
    <w:p w:rsidR="00000000" w:rsidRPr="00402C47" w:rsidP="00402C47">
      <w:pPr>
        <w:pStyle w:val="ListBullet2"/>
      </w:pPr>
      <w:r w:rsidRPr="00402C47">
        <w:t>privacy, confidentiality and disclosure</w:t>
      </w:r>
    </w:p>
    <w:p w:rsidR="00000000" w:rsidRPr="00402C47" w:rsidP="00402C47">
      <w:pPr>
        <w:pStyle w:val="ListBullet2"/>
      </w:pPr>
      <w:r w:rsidRPr="00402C47">
        <w:t xml:space="preserve">records management </w:t>
      </w:r>
    </w:p>
    <w:p w:rsidR="00000000" w:rsidRPr="00402C47" w:rsidP="00402C47">
      <w:pPr>
        <w:pStyle w:val="ListBullet2"/>
      </w:pPr>
      <w:r w:rsidRPr="00402C47">
        <w:t>rights and responsibilities of workers, employers and patients</w:t>
      </w:r>
    </w:p>
    <w:p w:rsidR="00000000" w:rsidRPr="00402C47" w:rsidP="00402C47">
      <w:pPr>
        <w:pStyle w:val="ListBullet2"/>
      </w:pPr>
      <w:r w:rsidRPr="00402C47">
        <w:t>work role boundaries including responsibilities and limitations</w:t>
      </w:r>
    </w:p>
    <w:p w:rsidR="00000000" w:rsidRPr="00402C47" w:rsidP="00402C47">
      <w:pPr>
        <w:pStyle w:val="ListBullet2"/>
      </w:pPr>
      <w:r w:rsidRPr="00402C47">
        <w:t>work health and safety</w:t>
      </w:r>
    </w:p>
    <w:p w:rsidR="00000000" w:rsidRPr="00402C47" w:rsidP="00402C47">
      <w:pPr>
        <w:pStyle w:val="ListBullet"/>
      </w:pPr>
      <w:r w:rsidRPr="00402C47">
        <w:t>clinical measurements undertaken by anaesthetic technicians:</w:t>
      </w:r>
    </w:p>
    <w:p w:rsidR="00000000" w:rsidRPr="00402C47" w:rsidP="00402C47">
      <w:pPr>
        <w:pStyle w:val="ListBullet2"/>
      </w:pPr>
      <w:r w:rsidRPr="00402C47">
        <w:t>purpose</w:t>
      </w:r>
    </w:p>
    <w:p w:rsidR="00000000" w:rsidRPr="00402C47" w:rsidP="00402C47">
      <w:pPr>
        <w:pStyle w:val="ListBullet2"/>
      </w:pPr>
      <w:r w:rsidRPr="00402C47">
        <w:t>how they are undertaken</w:t>
      </w:r>
    </w:p>
    <w:p w:rsidR="00000000" w:rsidRPr="00402C47" w:rsidP="00402C47">
      <w:pPr>
        <w:pStyle w:val="ListBullet2"/>
      </w:pPr>
      <w:r w:rsidRPr="00402C47">
        <w:t>normal resu</w:t>
      </w:r>
      <w:r w:rsidRPr="00402C47">
        <w:t>lts and variations from normal</w:t>
      </w:r>
    </w:p>
    <w:p w:rsidR="00000000" w:rsidRPr="00402C47" w:rsidP="00402C47">
      <w:pPr>
        <w:pStyle w:val="ListBullet2"/>
      </w:pPr>
      <w:r w:rsidRPr="00402C47">
        <w:t>implications of abnormal results for all of the following:</w:t>
      </w:r>
    </w:p>
    <w:p w:rsidR="00000000" w:rsidRPr="00402C47" w:rsidP="00402C47">
      <w:pPr>
        <w:pStyle w:val="ListBullet3"/>
      </w:pPr>
      <w:r w:rsidRPr="00402C47">
        <w:t xml:space="preserve">arterial blood gases </w:t>
      </w:r>
    </w:p>
    <w:p w:rsidR="00000000" w:rsidRPr="00402C47" w:rsidP="00402C47">
      <w:pPr>
        <w:pStyle w:val="ListBullet3"/>
      </w:pPr>
      <w:r w:rsidRPr="00402C47">
        <w:t>blood pressure</w:t>
      </w:r>
    </w:p>
    <w:p w:rsidR="00000000" w:rsidRPr="00402C47" w:rsidP="00402C47">
      <w:pPr>
        <w:pStyle w:val="ListBullet3"/>
      </w:pPr>
      <w:r w:rsidRPr="00402C47">
        <w:t>blood glucose level</w:t>
      </w:r>
    </w:p>
    <w:p w:rsidR="00000000" w:rsidRPr="00402C47" w:rsidP="00402C47">
      <w:pPr>
        <w:pStyle w:val="ListBullet3"/>
      </w:pPr>
      <w:r w:rsidRPr="00402C47">
        <w:t>peripheral perfusion or skin colour</w:t>
      </w:r>
    </w:p>
    <w:p w:rsidR="00000000" w:rsidRPr="00402C47" w:rsidP="00402C47">
      <w:pPr>
        <w:pStyle w:val="ListBullet3"/>
      </w:pPr>
      <w:r w:rsidRPr="00402C47">
        <w:t>haemodynamic including non-i</w:t>
      </w:r>
      <w:r w:rsidRPr="00402C47">
        <w:t>nvasive blood pressure, invasive blood pressure, central venous pressure, pulmonary artery wedge pressure, pulse, heart rate, cardiac output</w:t>
      </w:r>
    </w:p>
    <w:p w:rsidR="00000000" w:rsidRPr="00402C47" w:rsidP="00402C47">
      <w:pPr>
        <w:pStyle w:val="ListBullet3"/>
      </w:pPr>
      <w:r w:rsidRPr="00402C47">
        <w:t xml:space="preserve">dermatomes </w:t>
      </w:r>
    </w:p>
    <w:p w:rsidR="00000000" w:rsidRPr="00402C47" w:rsidP="00402C47">
      <w:pPr>
        <w:pStyle w:val="ListBullet3"/>
      </w:pPr>
      <w:r w:rsidRPr="00402C47">
        <w:t>electrocardiography (ECG) including 3 electrodes and 5 electrodes</w:t>
      </w:r>
    </w:p>
    <w:p w:rsidR="00000000" w:rsidRPr="00402C47" w:rsidP="00402C47">
      <w:pPr>
        <w:pStyle w:val="ListBullet3"/>
      </w:pPr>
      <w:r w:rsidRPr="00402C47">
        <w:t>12 lead ECG</w:t>
      </w:r>
    </w:p>
    <w:p w:rsidR="00000000" w:rsidRPr="00402C47" w:rsidP="00402C47">
      <w:pPr>
        <w:pStyle w:val="ListBullet3"/>
      </w:pPr>
      <w:r w:rsidRPr="00402C47">
        <w:t>haemoglobin</w:t>
      </w:r>
    </w:p>
    <w:p w:rsidR="00000000" w:rsidRPr="00402C47" w:rsidP="00402C47">
      <w:pPr>
        <w:pStyle w:val="ListBullet3"/>
      </w:pPr>
      <w:r w:rsidRPr="00402C47">
        <w:t>blood tests s</w:t>
      </w:r>
      <w:r w:rsidRPr="00402C47">
        <w:t>amples for urea and electrolytes (U&amp;E), coagulation profile (coags), full blood count (FBC), group and hold screen</w:t>
      </w:r>
    </w:p>
    <w:p w:rsidR="00000000" w:rsidRPr="00402C47" w:rsidP="00402C47">
      <w:pPr>
        <w:pStyle w:val="ListBullet3"/>
      </w:pPr>
      <w:r w:rsidRPr="00402C47">
        <w:t>inspired and expired gases (FiO2, FeO2, ETCO2, TV, inspiration pressure, MV, RR, MAC)</w:t>
      </w:r>
    </w:p>
    <w:p w:rsidR="00000000" w:rsidRPr="00402C47" w:rsidP="00402C47">
      <w:pPr>
        <w:pStyle w:val="ListBullet3"/>
      </w:pPr>
      <w:r w:rsidRPr="00402C47">
        <w:t>level of consciousness clinical observation</w:t>
      </w:r>
    </w:p>
    <w:p w:rsidR="00000000" w:rsidRPr="00402C47" w:rsidP="00402C47">
      <w:pPr>
        <w:pStyle w:val="ListBullet3"/>
      </w:pPr>
      <w:r w:rsidRPr="00402C47">
        <w:t xml:space="preserve">bispectral </w:t>
      </w:r>
      <w:r w:rsidRPr="00402C47">
        <w:t>index monitoring</w:t>
      </w:r>
    </w:p>
    <w:p w:rsidR="00000000" w:rsidRPr="00402C47" w:rsidP="00402C47">
      <w:pPr>
        <w:pStyle w:val="ListBullet3"/>
      </w:pPr>
      <w:r w:rsidRPr="00402C47">
        <w:t>neuromuscular function</w:t>
      </w:r>
    </w:p>
    <w:p w:rsidR="00000000" w:rsidRPr="00402C47" w:rsidP="00402C47">
      <w:pPr>
        <w:pStyle w:val="ListBullet3"/>
      </w:pPr>
      <w:r w:rsidRPr="00402C47">
        <w:t>oxygenation (oximetry, FiO2, PaO2</w:t>
      </w:r>
    </w:p>
    <w:p w:rsidR="00000000" w:rsidRPr="00402C47" w:rsidP="00402C47">
      <w:pPr>
        <w:pStyle w:val="ListBullet3"/>
      </w:pPr>
      <w:r w:rsidRPr="00402C47">
        <w:t>pain assessment</w:t>
      </w:r>
    </w:p>
    <w:p w:rsidR="00000000" w:rsidRPr="00402C47" w:rsidP="00402C47">
      <w:pPr>
        <w:pStyle w:val="ListBullet3"/>
      </w:pPr>
      <w:r w:rsidRPr="00402C47">
        <w:t>temperature</w:t>
      </w:r>
    </w:p>
    <w:p w:rsidR="00000000" w:rsidRPr="00402C47" w:rsidP="00402C47">
      <w:pPr>
        <w:pStyle w:val="ListBullet3"/>
      </w:pPr>
      <w:r w:rsidRPr="00402C47">
        <w:t>acid base balance</w:t>
      </w:r>
    </w:p>
    <w:p w:rsidR="00000000" w:rsidRPr="00402C47" w:rsidP="00402C47">
      <w:pPr>
        <w:pStyle w:val="ListBullet3"/>
      </w:pPr>
      <w:r w:rsidRPr="00402C47">
        <w:t>heart and lung sounds</w:t>
      </w:r>
    </w:p>
    <w:p w:rsidR="00000000" w:rsidRPr="00402C47" w:rsidP="00402C47">
      <w:pPr>
        <w:pStyle w:val="ListBullet"/>
      </w:pPr>
      <w:r w:rsidRPr="00402C47">
        <w:t>fluid balance monitoring requirements, including:</w:t>
      </w:r>
    </w:p>
    <w:p w:rsidR="00000000" w:rsidRPr="00402C47" w:rsidP="00402C47">
      <w:pPr>
        <w:pStyle w:val="ListBullet2"/>
      </w:pPr>
      <w:r w:rsidRPr="00402C47">
        <w:t>urine</w:t>
      </w:r>
    </w:p>
    <w:p w:rsidR="00000000" w:rsidRPr="00402C47" w:rsidP="00402C47">
      <w:pPr>
        <w:pStyle w:val="ListBullet2"/>
      </w:pPr>
      <w:r w:rsidRPr="00402C47">
        <w:t>gastrointestinal</w:t>
      </w:r>
    </w:p>
    <w:p w:rsidR="00000000" w:rsidRPr="00402C47" w:rsidP="00402C47">
      <w:pPr>
        <w:pStyle w:val="ListBullet2"/>
      </w:pPr>
      <w:r w:rsidRPr="00402C47">
        <w:t>blood</w:t>
      </w:r>
    </w:p>
    <w:p w:rsidR="00000000" w:rsidRPr="00402C47" w:rsidP="00402C47">
      <w:pPr>
        <w:pStyle w:val="ListBullet2"/>
      </w:pPr>
      <w:r w:rsidRPr="00402C47">
        <w:t>irrigation</w:t>
      </w:r>
    </w:p>
    <w:p w:rsidR="00000000" w:rsidRPr="00402C47" w:rsidP="00402C47">
      <w:pPr>
        <w:pStyle w:val="ListBullet2"/>
      </w:pPr>
      <w:r w:rsidRPr="00402C47">
        <w:t>intravenous</w:t>
      </w:r>
    </w:p>
    <w:p w:rsidR="00000000" w:rsidRPr="00402C47" w:rsidP="00402C47">
      <w:pPr>
        <w:pStyle w:val="ListBullet"/>
      </w:pPr>
      <w:r w:rsidRPr="00402C47">
        <w:t>clinical documentation requirements</w:t>
      </w:r>
    </w:p>
    <w:p w:rsidR="00000000" w:rsidRPr="00402C47" w:rsidP="00402C47">
      <w:pPr>
        <w:pStyle w:val="ListBullet"/>
      </w:pPr>
      <w:r w:rsidRPr="00402C47">
        <w:t>principles of electricity or similar for anaesthesia:</w:t>
      </w:r>
    </w:p>
    <w:p w:rsidR="00000000" w:rsidRPr="00402C47" w:rsidP="00402C47">
      <w:pPr>
        <w:pStyle w:val="ListBullet2"/>
      </w:pPr>
      <w:r w:rsidRPr="00402C47">
        <w:t>fibreoptics</w:t>
      </w:r>
    </w:p>
    <w:p w:rsidR="00000000" w:rsidRPr="00402C47" w:rsidP="00402C47">
      <w:pPr>
        <w:pStyle w:val="ListBullet2"/>
      </w:pPr>
      <w:r w:rsidRPr="00402C47">
        <w:t>hydrostatic, atmospheric and oncotic pressure</w:t>
      </w:r>
    </w:p>
    <w:p w:rsidR="00000000" w:rsidRPr="00402C47" w:rsidP="00402C47">
      <w:pPr>
        <w:pStyle w:val="ListBullet2"/>
      </w:pPr>
      <w:r w:rsidRPr="00402C47">
        <w:t>oscillometry</w:t>
      </w:r>
    </w:p>
    <w:p w:rsidR="00000000" w:rsidRPr="00402C47" w:rsidP="00402C47">
      <w:pPr>
        <w:pStyle w:val="ListBullet2"/>
      </w:pPr>
      <w:r w:rsidRPr="00402C47">
        <w:t>photometrics or photoelectrics</w:t>
      </w:r>
    </w:p>
    <w:p w:rsidR="00000000" w:rsidRPr="00402C47" w:rsidP="00402C47">
      <w:pPr>
        <w:pStyle w:val="ListBullet2"/>
      </w:pPr>
      <w:r w:rsidRPr="00402C47">
        <w:t>thermistor</w:t>
      </w:r>
    </w:p>
    <w:p w:rsidR="00000000" w:rsidRPr="00402C47" w:rsidP="00402C47">
      <w:pPr>
        <w:pStyle w:val="ListBullet2"/>
      </w:pPr>
      <w:r w:rsidRPr="00402C47">
        <w:t>transducers.</w:t>
      </w:r>
    </w:p>
    <w:p w:rsidR="00000000" w:rsidRPr="00402C47" w:rsidP="00402C47">
      <w:pPr>
        <w:pStyle w:val="AllowPageBreak"/>
      </w:pPr>
    </w:p>
    <w:p w:rsidR="00000000" w:rsidRPr="00402C47" w:rsidP="00402C47">
      <w:pPr>
        <w:pStyle w:val="Heading1"/>
      </w:pPr>
      <w:bookmarkStart w:id="4" w:name="O_1198922"/>
      <w:bookmarkEnd w:id="4"/>
      <w:r w:rsidRPr="00402C47">
        <w:t>Assessment Condition</w:t>
      </w:r>
      <w:r w:rsidRPr="00402C47">
        <w:t>s</w:t>
      </w:r>
    </w:p>
    <w:p w:rsidR="00000000" w:rsidRPr="00402C47" w:rsidP="0078399B">
      <w:pPr>
        <w:pStyle w:val="BodyText"/>
      </w:pPr>
      <w:r w:rsidRPr="00402C47">
        <w:t>Skills must be demonstrated in the workplace with the addition of simulations and scenarios where the full range of contexts and situations have not been provided in the workplace.</w:t>
      </w:r>
    </w:p>
    <w:p w:rsidR="00000000" w:rsidRPr="00402C47" w:rsidP="0078399B">
      <w:pPr>
        <w:pStyle w:val="BodyText"/>
      </w:pPr>
      <w:r w:rsidRPr="00402C47">
        <w:t>Assessment must ensure access to:</w:t>
      </w:r>
    </w:p>
    <w:p w:rsidR="00000000" w:rsidRPr="00402C47" w:rsidP="00402C47">
      <w:pPr>
        <w:pStyle w:val="ListBullet"/>
      </w:pPr>
      <w:r w:rsidRPr="00402C47">
        <w:t>use of suitable facilities, equipment and resources, including those required by tests specified in performance evidence</w:t>
      </w:r>
    </w:p>
    <w:p w:rsidR="00000000" w:rsidRPr="00402C47" w:rsidP="00402C47">
      <w:pPr>
        <w:pStyle w:val="ListBullet"/>
      </w:pPr>
      <w:r w:rsidRPr="00402C47">
        <w:t>modelling of industry operating conditions, including presence of situations requiring problem solving in non-routine situations.</w:t>
      </w:r>
    </w:p>
    <w:p w:rsidR="00000000" w:rsidRPr="00402C47" w:rsidP="0078399B">
      <w:pPr>
        <w:pStyle w:val="BodyText"/>
      </w:pPr>
      <w:r w:rsidRPr="00402C47">
        <w:t>Asses</w:t>
      </w:r>
      <w:r w:rsidRPr="00402C47">
        <w:t>sors must satisfy the Standards for Registered Training Organisations’ requirements for assessors.</w:t>
      </w:r>
    </w:p>
    <w:p w:rsidR="00000000" w:rsidRPr="00402C47" w:rsidP="00402C47">
      <w:pPr>
        <w:pStyle w:val="Heading1"/>
      </w:pPr>
      <w:bookmarkStart w:id="5" w:name="O_1198925"/>
      <w:bookmarkEnd w:id="5"/>
      <w:r w:rsidRPr="00402C47">
        <w:t>Links</w:t>
      </w:r>
    </w:p>
    <w:p w:rsidR="00000000" w:rsidRPr="00402C47" w:rsidP="0078399B">
      <w:pPr>
        <w:pStyle w:val="BodyText"/>
      </w:pPr>
      <w:r w:rsidRPr="00402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9268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2C47" w:rsidP="00402C47"/>
    <w:sectPr w:rsidSect="00402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 w:rsidP="00402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99B" w:rsidP="00402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399B" w:rsidP="00402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C47" w:rsidRPr="0078399B" w:rsidP="00783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9B" w:rsidRPr="002D2AF8" w:rsidP="00402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HLTANA009 Monitor patients during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8399B" w:rsidP="00402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0C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24E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E02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C47"/>
  </w:style>
  <w:style w:type="character" w:customStyle="1" w:styleId="Heading1Char">
    <w:name w:val="Heading 1 Char"/>
    <w:basedOn w:val="DefaultParagraphFont"/>
    <w:link w:val="Heading1"/>
    <w:rsid w:val="00402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C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C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2C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2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C47"/>
    <w:rPr>
      <w:b/>
      <w:spacing w:val="0"/>
    </w:rPr>
  </w:style>
  <w:style w:type="paragraph" w:customStyle="1" w:styleId="SuperTitle">
    <w:name w:val="SuperTitle"/>
    <w:basedOn w:val="Title"/>
    <w:rsid w:val="00402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C47"/>
    <w:rPr>
      <w:i/>
    </w:rPr>
  </w:style>
  <w:style w:type="paragraph" w:styleId="Caption">
    <w:name w:val="caption"/>
    <w:basedOn w:val="BodyText"/>
    <w:next w:val="Normal"/>
    <w:qFormat/>
    <w:rsid w:val="00402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C47"/>
  </w:style>
  <w:style w:type="paragraph" w:styleId="TableofFigures">
    <w:name w:val="table of figures"/>
    <w:basedOn w:val="Normal"/>
    <w:next w:val="Normal"/>
    <w:semiHidden/>
    <w:rsid w:val="00402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C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2C47"/>
    <w:rPr>
      <w:rFonts w:ascii="Wingdings" w:hAnsi="Wingdings"/>
    </w:rPr>
  </w:style>
  <w:style w:type="paragraph" w:customStyle="1" w:styleId="TableHeading">
    <w:name w:val="Table Heading"/>
    <w:basedOn w:val="HeadingBase"/>
    <w:rsid w:val="00402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C47"/>
    <w:rPr>
      <w:color w:val="0033CC"/>
      <w:u w:val="none"/>
    </w:rPr>
  </w:style>
  <w:style w:type="paragraph" w:customStyle="1" w:styleId="BodyTextRight">
    <w:name w:val="Body Text Right"/>
    <w:basedOn w:val="BodyText"/>
    <w:rsid w:val="00402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C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C47"/>
    <w:rPr>
      <w:sz w:val="32"/>
    </w:rPr>
  </w:style>
  <w:style w:type="paragraph" w:customStyle="1" w:styleId="HeadingProcedure">
    <w:name w:val="Heading Procedure"/>
    <w:basedOn w:val="HeadingBase"/>
    <w:next w:val="Normal"/>
    <w:rsid w:val="00402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C47"/>
    <w:pPr>
      <w:spacing w:before="60" w:after="60"/>
    </w:pPr>
  </w:style>
  <w:style w:type="paragraph" w:styleId="ListContinue">
    <w:name w:val="List Continue"/>
    <w:basedOn w:val="List"/>
    <w:rsid w:val="00402C47"/>
    <w:pPr>
      <w:ind w:firstLine="0"/>
    </w:pPr>
  </w:style>
  <w:style w:type="paragraph" w:customStyle="1" w:styleId="ListNote">
    <w:name w:val="List Note"/>
    <w:basedOn w:val="List"/>
    <w:rsid w:val="00402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C47"/>
    <w:rPr>
      <w:rFonts w:ascii="Courier New" w:hAnsi="Courier New"/>
    </w:rPr>
  </w:style>
  <w:style w:type="paragraph" w:customStyle="1" w:styleId="NoteBullet">
    <w:name w:val="Note Bullet"/>
    <w:basedOn w:val="Note"/>
    <w:rsid w:val="00402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C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2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C47"/>
    <w:rPr>
      <w:b/>
      <w:smallCaps/>
    </w:rPr>
  </w:style>
  <w:style w:type="paragraph" w:customStyle="1" w:styleId="TableListNumber">
    <w:name w:val="Table List Number"/>
    <w:basedOn w:val="ListNumber"/>
    <w:rsid w:val="00402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C47"/>
    <w:pPr>
      <w:numPr>
        <w:numId w:val="10"/>
      </w:numPr>
    </w:pPr>
  </w:style>
  <w:style w:type="paragraph" w:customStyle="1" w:styleId="ListAlpha2">
    <w:name w:val="List Alpha 2"/>
    <w:basedOn w:val="List2"/>
    <w:rsid w:val="00402C47"/>
    <w:pPr>
      <w:numPr>
        <w:numId w:val="9"/>
      </w:numPr>
    </w:pPr>
  </w:style>
  <w:style w:type="paragraph" w:styleId="List2">
    <w:name w:val="List 2"/>
    <w:basedOn w:val="BodyText"/>
    <w:rsid w:val="00402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C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2C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2C47"/>
    <w:pPr>
      <w:numPr>
        <w:numId w:val="5"/>
      </w:numPr>
    </w:pPr>
  </w:style>
  <w:style w:type="paragraph" w:styleId="ListContinue2">
    <w:name w:val="List Continue 2"/>
    <w:basedOn w:val="List2"/>
    <w:rsid w:val="00402C47"/>
    <w:pPr>
      <w:ind w:firstLine="0"/>
    </w:pPr>
  </w:style>
  <w:style w:type="paragraph" w:styleId="ListContinue3">
    <w:name w:val="List Continue 3"/>
    <w:basedOn w:val="List3"/>
    <w:rsid w:val="00402C47"/>
    <w:pPr>
      <w:ind w:left="1021" w:firstLine="0"/>
    </w:pPr>
  </w:style>
  <w:style w:type="paragraph" w:styleId="ListContinue4">
    <w:name w:val="List Continue 4"/>
    <w:basedOn w:val="List4"/>
    <w:rsid w:val="00402C47"/>
    <w:pPr>
      <w:ind w:firstLine="0"/>
    </w:pPr>
  </w:style>
  <w:style w:type="paragraph" w:styleId="ListContinue5">
    <w:name w:val="List Continue 5"/>
    <w:basedOn w:val="List5"/>
    <w:rsid w:val="00402C47"/>
    <w:pPr>
      <w:ind w:firstLine="0"/>
    </w:pPr>
  </w:style>
  <w:style w:type="paragraph" w:styleId="ListNumber3">
    <w:name w:val="List Number 3"/>
    <w:basedOn w:val="List3"/>
    <w:rsid w:val="00402C47"/>
    <w:pPr>
      <w:numPr>
        <w:numId w:val="6"/>
      </w:numPr>
    </w:pPr>
  </w:style>
  <w:style w:type="paragraph" w:styleId="ListNumber4">
    <w:name w:val="List Number 4"/>
    <w:basedOn w:val="List4"/>
    <w:rsid w:val="00402C47"/>
    <w:pPr>
      <w:numPr>
        <w:numId w:val="7"/>
      </w:numPr>
    </w:pPr>
  </w:style>
  <w:style w:type="paragraph" w:styleId="ListNumber5">
    <w:name w:val="List Number 5"/>
    <w:basedOn w:val="List5"/>
    <w:rsid w:val="00402C47"/>
    <w:pPr>
      <w:numPr>
        <w:numId w:val="8"/>
      </w:numPr>
    </w:pPr>
  </w:style>
  <w:style w:type="paragraph" w:styleId="BlockText">
    <w:name w:val="Block Text"/>
    <w:basedOn w:val="Normal"/>
    <w:rsid w:val="00402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C47"/>
    <w:rPr>
      <w:sz w:val="16"/>
      <w:vertAlign w:val="superscript"/>
    </w:rPr>
  </w:style>
  <w:style w:type="character" w:customStyle="1" w:styleId="Symbols">
    <w:name w:val="Symbols"/>
    <w:basedOn w:val="DefaultParagraphFont"/>
    <w:rsid w:val="00402C47"/>
    <w:rPr>
      <w:rFonts w:ascii="Symbol" w:hAnsi="Symbol"/>
    </w:rPr>
  </w:style>
  <w:style w:type="character" w:customStyle="1" w:styleId="MenuOptions">
    <w:name w:val="Menu Options"/>
    <w:basedOn w:val="DefaultParagraphFont"/>
    <w:rsid w:val="00402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C47"/>
    <w:rPr>
      <w:b/>
    </w:rPr>
  </w:style>
  <w:style w:type="character" w:customStyle="1" w:styleId="Underlined">
    <w:name w:val="Underlined"/>
    <w:basedOn w:val="DefaultParagraphFont"/>
    <w:rsid w:val="00402C47"/>
    <w:rPr>
      <w:u w:val="single"/>
    </w:rPr>
  </w:style>
  <w:style w:type="paragraph" w:customStyle="1" w:styleId="TableBodyTextRight">
    <w:name w:val="Table Body Text Right"/>
    <w:basedOn w:val="TableBodyText"/>
    <w:rsid w:val="00402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C47"/>
    <w:rPr>
      <w:sz w:val="18"/>
    </w:rPr>
  </w:style>
  <w:style w:type="paragraph" w:customStyle="1" w:styleId="BodySmallRight">
    <w:name w:val="Body Small Right"/>
    <w:basedOn w:val="BodyTextRight"/>
    <w:rsid w:val="00402C47"/>
    <w:rPr>
      <w:sz w:val="18"/>
      <w:szCs w:val="18"/>
    </w:rPr>
  </w:style>
  <w:style w:type="paragraph" w:customStyle="1" w:styleId="MarginEdition">
    <w:name w:val="Margin Edition"/>
    <w:basedOn w:val="MarginNote"/>
    <w:rsid w:val="00402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C47"/>
    <w:rPr>
      <w:sz w:val="2"/>
      <w:szCs w:val="2"/>
    </w:rPr>
  </w:style>
  <w:style w:type="character" w:customStyle="1" w:styleId="Small">
    <w:name w:val="Small"/>
    <w:basedOn w:val="DefaultParagraphFont"/>
    <w:rsid w:val="00402C47"/>
    <w:rPr>
      <w:sz w:val="16"/>
    </w:rPr>
  </w:style>
  <w:style w:type="paragraph" w:customStyle="1" w:styleId="WideTable">
    <w:name w:val="Wide Table"/>
    <w:basedOn w:val="Normal"/>
    <w:rsid w:val="00402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C47"/>
  </w:style>
  <w:style w:type="paragraph" w:styleId="Quote">
    <w:name w:val="Quote"/>
    <w:basedOn w:val="Heading1"/>
    <w:link w:val="QuoteChar"/>
    <w:qFormat/>
    <w:rsid w:val="00402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C47"/>
    <w:pPr>
      <w:pageBreakBefore/>
    </w:pPr>
  </w:style>
  <w:style w:type="paragraph" w:customStyle="1" w:styleId="Border">
    <w:name w:val="Border"/>
    <w:basedOn w:val="Normal"/>
    <w:qFormat/>
    <w:rsid w:val="00402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C47"/>
    <w:rPr>
      <w:u w:val="single"/>
    </w:rPr>
  </w:style>
  <w:style w:type="character" w:customStyle="1" w:styleId="BoldandItalics">
    <w:name w:val="Bold and Italics"/>
    <w:qFormat/>
    <w:rsid w:val="00402C47"/>
    <w:rPr>
      <w:b/>
      <w:i/>
      <w:u w:val="none"/>
    </w:rPr>
  </w:style>
  <w:style w:type="paragraph" w:styleId="BalloonText">
    <w:name w:val="Balloon Text"/>
    <w:basedOn w:val="Normal"/>
    <w:link w:val="BalloonTextChar"/>
    <w:rsid w:val="00402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C47"/>
    <w:pPr>
      <w:spacing w:before="0" w:after="0"/>
    </w:pPr>
  </w:style>
  <w:style w:type="paragraph" w:customStyle="1" w:styleId="BodyTextBold">
    <w:name w:val="Body Text Bold"/>
    <w:basedOn w:val="BodyText"/>
    <w:qFormat/>
    <w:rsid w:val="00402C47"/>
    <w:rPr>
      <w:b/>
    </w:rPr>
  </w:style>
  <w:style w:type="character" w:styleId="Hyperlink">
    <w:name w:val="Hyperlink"/>
    <w:basedOn w:val="DefaultParagraphFont"/>
    <w:uiPriority w:val="99"/>
    <w:unhideWhenUsed/>
    <w:rsid w:val="00783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3791</Characters>
  <Application>Microsoft Office Word</Application>
  <DocSecurity>0</DocSecurity>
  <Lines>114</Lines>
  <Paragraphs>98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HLTANA009 Monitor patients during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2023-07-02T01:29:00Z</dcterms:created>
  <dcterms:modified xsi:type="dcterms:W3CDTF">2023-07-02T01:29:00Z</dcterms:modified>
</cp:coreProperties>
</file>