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0DB" w:rsidP="00DE3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HLTANA008 Prepare patients for anaesthesia</w:t>
      </w:r>
      <w:r>
        <w:fldChar w:fldCharType="end"/>
      </w:r>
    </w:p>
    <w:p w:rsidR="00DE30DB" w:rsidP="00DE30DB">
      <w:pPr>
        <w:pStyle w:val="Version"/>
        <w:sectPr w:rsidSect="00E20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28D" w:rsidP="00E2028D">
      <w:pPr>
        <w:pStyle w:val="SuperHeading"/>
      </w:pPr>
      <w:r w:rsidRPr="00E2028D">
        <w:t>HLTANA008 Prepare patients for anaesthesia</w:t>
      </w:r>
    </w:p>
    <w:p w:rsidR="00000000" w:rsidRPr="00E2028D" w:rsidP="00E2028D">
      <w:pPr>
        <w:pStyle w:val="Heading1"/>
      </w:pPr>
      <w:bookmarkStart w:id="1" w:name="O_1198890"/>
      <w:bookmarkEnd w:id="1"/>
      <w:r w:rsidRPr="00E2028D">
        <w:t>Modification History</w:t>
      </w:r>
    </w:p>
    <w:p w:rsidR="00000000" w:rsidRPr="00E2028D" w:rsidP="00DE30DB">
      <w:pPr>
        <w:pStyle w:val="BodyText"/>
      </w:pPr>
      <w:r w:rsidRPr="00E2028D">
        <w:t>Supersedes and is not equivalent to HLTANA001 Prepare clients for anaesthesia.</w:t>
      </w:r>
    </w:p>
    <w:p w:rsidR="00000000" w:rsidRPr="00E2028D" w:rsidP="00E2028D">
      <w:pPr>
        <w:pStyle w:val="Heading1"/>
      </w:pPr>
      <w:bookmarkStart w:id="2" w:name="O_1198891"/>
      <w:bookmarkEnd w:id="2"/>
      <w:r w:rsidRPr="00E2028D">
        <w:t>Application</w:t>
      </w:r>
    </w:p>
    <w:p w:rsidR="00000000" w:rsidRPr="00E2028D" w:rsidP="00DE30DB">
      <w:pPr>
        <w:pStyle w:val="BodyText"/>
      </w:pPr>
      <w:r w:rsidRPr="00E2028D">
        <w:t>This unit describes the skills and knowledge required to complete specific patient related preparation tasks. It includes pat</w:t>
      </w:r>
      <w:r w:rsidRPr="00E2028D">
        <w:t>ient preparation and transfer, the attachment and detachment of equipment and positioning the patient for different procedures.</w:t>
      </w:r>
    </w:p>
    <w:p w:rsidR="00000000" w:rsidRPr="00E2028D" w:rsidP="00DE30DB">
      <w:pPr>
        <w:pStyle w:val="BodyText"/>
      </w:pPr>
      <w:r w:rsidRPr="00E2028D">
        <w:t>The unit applies to anaesthetic technicians working under the direction of, and in consultation with, an anaesthetist in any hos</w:t>
      </w:r>
      <w:r w:rsidRPr="00E2028D">
        <w:t>pital or day surgery setting.</w:t>
      </w:r>
    </w:p>
    <w:p w:rsidR="00000000" w:rsidRPr="00E2028D" w:rsidP="00DE30DB">
      <w:pPr>
        <w:pStyle w:val="BodyText"/>
      </w:pPr>
      <w:r w:rsidRPr="00E2028D">
        <w:t>The skills in this unit must be applied in accordance with Commonwealth and State or Territory legislation, Australian standards and industry codes of practice.</w:t>
      </w:r>
    </w:p>
    <w:p w:rsidR="00000000" w:rsidRPr="00E2028D" w:rsidP="00DE30DB">
      <w:pPr>
        <w:pStyle w:val="BodyText"/>
      </w:pPr>
      <w:r w:rsidRPr="00E2028D">
        <w:t xml:space="preserve">No occupational licensing, certification or specific legislative </w:t>
      </w:r>
      <w:r w:rsidRPr="00E2028D">
        <w:t>requirements apply to this unit at the time of publication.</w:t>
      </w:r>
    </w:p>
    <w:p w:rsidR="00000000" w:rsidRPr="00E2028D" w:rsidP="00E2028D">
      <w:pPr>
        <w:pStyle w:val="Heading1"/>
      </w:pPr>
      <w:bookmarkStart w:id="3" w:name="O_1198892"/>
      <w:bookmarkEnd w:id="3"/>
      <w:r w:rsidRPr="00E2028D">
        <w:t>Pre-requisite Unit</w:t>
      </w:r>
    </w:p>
    <w:p w:rsidR="00000000" w:rsidRPr="00E2028D" w:rsidP="00DE30DB">
      <w:pPr>
        <w:pStyle w:val="BodyText"/>
      </w:pPr>
      <w:r w:rsidRPr="00E2028D">
        <w:t xml:space="preserve">Nil </w:t>
      </w:r>
    </w:p>
    <w:p w:rsidR="00000000" w:rsidRPr="00E2028D" w:rsidP="00E2028D">
      <w:pPr>
        <w:pStyle w:val="Heading1"/>
      </w:pPr>
      <w:bookmarkStart w:id="4" w:name="O_1198893"/>
      <w:bookmarkEnd w:id="4"/>
      <w:r w:rsidRPr="00E2028D">
        <w:t>Competency Field</w:t>
      </w:r>
    </w:p>
    <w:p w:rsidR="00000000" w:rsidRPr="00E2028D" w:rsidP="00DE30DB">
      <w:pPr>
        <w:pStyle w:val="BodyText"/>
      </w:pPr>
      <w:r w:rsidRPr="00E2028D">
        <w:t>Anaesthetic Technology</w:t>
      </w:r>
    </w:p>
    <w:p w:rsidR="00000000" w:rsidRPr="00E2028D" w:rsidP="00E2028D">
      <w:pPr>
        <w:pStyle w:val="Heading1"/>
      </w:pPr>
      <w:bookmarkStart w:id="5" w:name="O_1198894"/>
      <w:bookmarkEnd w:id="5"/>
      <w:r w:rsidRPr="00E2028D">
        <w:t>Unit Sector</w:t>
      </w:r>
    </w:p>
    <w:p w:rsidR="00000000" w:rsidRPr="00E2028D" w:rsidP="00DE30DB">
      <w:pPr>
        <w:pStyle w:val="BodyText"/>
      </w:pPr>
      <w:r w:rsidRPr="00E2028D">
        <w:t>Health</w:t>
      </w:r>
    </w:p>
    <w:p w:rsidR="00000000" w:rsidRPr="00E2028D" w:rsidP="00E2028D">
      <w:pPr>
        <w:pStyle w:val="Heading1"/>
      </w:pPr>
      <w:bookmarkStart w:id="6" w:name="O_1198895"/>
      <w:bookmarkEnd w:id="6"/>
      <w:r w:rsidRPr="00E202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374"/>
      </w:tblGrid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BodyText"/>
            </w:pPr>
            <w:r w:rsidRPr="00E2028D">
              <w:rPr>
                <w:rStyle w:val="SpecialBold"/>
              </w:rPr>
              <w:t>ELE</w:t>
            </w:r>
            <w:r w:rsidRPr="00E2028D">
              <w:rPr>
                <w:rStyle w:val="SpecialBold"/>
              </w:rPr>
              <w:t>MENTS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28D">
            <w:pPr>
              <w:pStyle w:val="BodyText"/>
              <w:rPr>
                <w:lang w:val="en-NZ"/>
              </w:rPr>
            </w:pPr>
            <w:r w:rsidRPr="00E2028D">
              <w:rPr>
                <w:rStyle w:val="SpecialBold"/>
              </w:rPr>
              <w:t>PERFORMANCE</w:t>
            </w:r>
            <w:r w:rsidRPr="00E2028D">
              <w:t xml:space="preserve"> </w:t>
            </w:r>
            <w:r w:rsidRPr="00E2028D">
              <w:rPr>
                <w:rStyle w:val="SpecialBold"/>
              </w:rPr>
              <w:t>CRITERIA</w:t>
            </w:r>
          </w:p>
        </w:tc>
      </w:tr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BodyText"/>
            </w:pPr>
            <w:r w:rsidRPr="00E2028D">
              <w:rPr>
                <w:rStyle w:val="Emphasis"/>
              </w:rPr>
              <w:t>Elements describe the essential outcomes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28D">
            <w:pPr>
              <w:pStyle w:val="BodyText"/>
              <w:rPr>
                <w:lang w:val="en-NZ"/>
              </w:rPr>
            </w:pPr>
            <w:r w:rsidRPr="00E202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0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28D">
            <w:pPr>
              <w:pStyle w:val="List"/>
              <w:rPr>
                <w:lang w:val="en-NZ"/>
              </w:rPr>
            </w:pPr>
            <w:r w:rsidRPr="00E2028D">
              <w:t>1.  Receive and prepare patient.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List"/>
            </w:pPr>
            <w:r w:rsidRPr="00E2028D">
              <w:t xml:space="preserve">1.1. Greet patient and undertake intake processes in accordance with organisational policy and procedures. </w:t>
            </w:r>
          </w:p>
          <w:p w:rsidR="00000000" w:rsidRPr="00E2028D" w:rsidP="00E2028D">
            <w:pPr>
              <w:pStyle w:val="List"/>
            </w:pPr>
            <w:r w:rsidRPr="00E2028D">
              <w:t>1.2. Acknowledge accompanying relatives and carers displaying empathy and sensitivity.</w:t>
            </w:r>
          </w:p>
          <w:p w:rsidR="00000000" w:rsidRPr="00E2028D" w:rsidP="00E2028D">
            <w:pPr>
              <w:pStyle w:val="List"/>
            </w:pPr>
            <w:r w:rsidRPr="00E2028D">
              <w:t>1.3. Obtain verbal confirmation of surgical procedure and loc</w:t>
            </w:r>
            <w:r w:rsidRPr="00E2028D">
              <w:t>ation and ensure it matches with the consent form.</w:t>
            </w:r>
          </w:p>
          <w:p w:rsidR="00000000" w:rsidRPr="00E2028D" w:rsidP="00E2028D">
            <w:pPr>
              <w:pStyle w:val="List"/>
            </w:pPr>
            <w:r w:rsidRPr="00E2028D">
              <w:t>1.4. Note any patient factors that impact on their care.</w:t>
            </w:r>
          </w:p>
          <w:p w:rsidR="00000000" w:rsidRPr="00E2028D" w:rsidP="00E2028D">
            <w:pPr>
              <w:pStyle w:val="List"/>
            </w:pPr>
            <w:r w:rsidRPr="00E2028D">
              <w:t>1.5. Complete preparation tasks or check that these have been completed by others and provide clear information to patient.</w:t>
            </w:r>
          </w:p>
          <w:p w:rsidR="00000000" w:rsidRPr="00E2028D" w:rsidP="00E2028D">
            <w:pPr>
              <w:pStyle w:val="List"/>
            </w:pPr>
            <w:r w:rsidRPr="00E2028D">
              <w:t>1.6. Monitor the patient</w:t>
            </w:r>
            <w:r w:rsidRPr="00E2028D">
              <w:t>’s safety, physical and emotional wellbeing through continual observation.</w:t>
            </w:r>
          </w:p>
          <w:p w:rsidR="00000000" w:rsidRPr="00E2028D" w:rsidP="00E2028D">
            <w:pPr>
              <w:pStyle w:val="List"/>
            </w:pPr>
            <w:r w:rsidRPr="00E2028D">
              <w:t>1.7. Identify, record and immediately report any variations, discrepancies, changes to the patient, their documentation or their wishes to the anaesthetist and other relevant person</w:t>
            </w:r>
            <w:r w:rsidRPr="00E2028D">
              <w:t>nel.</w:t>
            </w:r>
          </w:p>
          <w:p w:rsidR="00000000" w:rsidRPr="00E2028D" w:rsidP="00E2028D">
            <w:pPr>
              <w:pStyle w:val="List"/>
            </w:pPr>
            <w:r w:rsidRPr="00E2028D">
              <w:t>1.8. Label patient property and store securely in accordance with organisational policies and procedures.</w:t>
            </w:r>
          </w:p>
          <w:p w:rsidR="00000000" w:rsidRPr="00E2028D" w:rsidP="00E2028D">
            <w:pPr>
              <w:pStyle w:val="List"/>
            </w:pPr>
            <w:r w:rsidRPr="00E2028D">
              <w:t>1.9. Participate in pre-list discussion with the other members of the operating team, if applicable.</w:t>
            </w:r>
          </w:p>
          <w:p w:rsidR="00000000" w:rsidP="00E2028D">
            <w:pPr>
              <w:pStyle w:val="List"/>
              <w:rPr>
                <w:lang w:val="en-NZ"/>
              </w:rPr>
            </w:pPr>
            <w:r w:rsidRPr="00E2028D">
              <w:t>1.10. Ensure the requirements of the World H</w:t>
            </w:r>
            <w:r w:rsidRPr="00E2028D">
              <w:t xml:space="preserve">ealth Organisation (WHO) Surgical Safety Checklist have been met. </w:t>
            </w:r>
          </w:p>
        </w:tc>
      </w:tr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9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List"/>
            </w:pPr>
            <w:r w:rsidRPr="00E2028D">
              <w:t>2.  Attach and detach equipment.</w:t>
            </w:r>
          </w:p>
          <w:p w:rsidR="00000000" w:rsidP="00E2028D">
            <w:pPr>
              <w:pStyle w:val="BodyText"/>
              <w:rPr>
                <w:lang w:val="en-NZ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List"/>
            </w:pPr>
            <w:r w:rsidRPr="00E2028D">
              <w:t>2.1. Select routine monitoring and other equipment appropriate to the procedure in accordance with anaesthetist’s preference.</w:t>
            </w:r>
          </w:p>
          <w:p w:rsidR="00000000" w:rsidRPr="00E2028D" w:rsidP="00E2028D">
            <w:pPr>
              <w:pStyle w:val="List"/>
            </w:pPr>
            <w:r w:rsidRPr="00E2028D">
              <w:t>2.2. Prepare skin and attach equipment correctly, following infection prevention and control procedures.</w:t>
            </w:r>
          </w:p>
          <w:p w:rsidR="00000000" w:rsidRPr="00E2028D" w:rsidP="00E2028D">
            <w:pPr>
              <w:pStyle w:val="List"/>
            </w:pPr>
            <w:r w:rsidRPr="00E2028D">
              <w:t>2.3. Set equipment in operation and confirm functioning.</w:t>
            </w:r>
          </w:p>
          <w:p w:rsidR="00000000" w:rsidRPr="00E2028D" w:rsidP="00E2028D">
            <w:pPr>
              <w:pStyle w:val="List"/>
            </w:pPr>
            <w:r w:rsidRPr="00E2028D">
              <w:t>2.4. Carefully detach equipment with minimum risk of damage to patient, staff or equipment, on</w:t>
            </w:r>
            <w:r w:rsidRPr="00E2028D">
              <w:t>ce the anaesthetist indicates that it is no longer required.</w:t>
            </w:r>
          </w:p>
          <w:p w:rsidR="00000000" w:rsidP="00E2028D">
            <w:pPr>
              <w:pStyle w:val="List"/>
              <w:rPr>
                <w:lang w:val="en-NZ"/>
              </w:rPr>
            </w:pPr>
            <w:r w:rsidRPr="00E2028D">
              <w:t>2.5. Clean and store equipment ready for re-use.</w:t>
            </w:r>
          </w:p>
        </w:tc>
      </w:tr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8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28D">
            <w:pPr>
              <w:pStyle w:val="List"/>
              <w:rPr>
                <w:lang w:val="en-NZ"/>
              </w:rPr>
            </w:pPr>
            <w:r w:rsidRPr="00E2028D">
              <w:t>3.  Provide assistance with insertion of intravenous cannulation.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List"/>
            </w:pPr>
            <w:r w:rsidRPr="00E2028D">
              <w:t xml:space="preserve">3.1. Liaise with anaesthetist to confirm requirements. </w:t>
            </w:r>
          </w:p>
          <w:p w:rsidR="00000000" w:rsidRPr="00E2028D" w:rsidP="00E2028D">
            <w:pPr>
              <w:pStyle w:val="List"/>
            </w:pPr>
            <w:r w:rsidRPr="00E2028D">
              <w:t>3.2. Observe patient be</w:t>
            </w:r>
            <w:r w:rsidRPr="00E2028D">
              <w:t xml:space="preserve">haviour and respond to situations where support is required. </w:t>
            </w:r>
          </w:p>
          <w:p w:rsidR="00000000" w:rsidRPr="00E2028D" w:rsidP="00E2028D">
            <w:pPr>
              <w:pStyle w:val="List"/>
            </w:pPr>
            <w:r w:rsidRPr="00E2028D">
              <w:t xml:space="preserve">3.3. Provide optimum conditions to facilitate access. </w:t>
            </w:r>
          </w:p>
          <w:p w:rsidR="00000000" w:rsidRPr="00E2028D" w:rsidP="00E2028D">
            <w:pPr>
              <w:pStyle w:val="List"/>
            </w:pPr>
            <w:r w:rsidRPr="00E2028D">
              <w:t>3.4. Prepare and provide anaesthetic medical officer with required equipment in an aseptic manner.</w:t>
            </w:r>
          </w:p>
          <w:p w:rsidR="00000000" w:rsidRPr="00E2028D" w:rsidP="00E2028D">
            <w:pPr>
              <w:pStyle w:val="List"/>
            </w:pPr>
            <w:r w:rsidRPr="00E2028D">
              <w:t>3.5. Following insertion, adequately and</w:t>
            </w:r>
            <w:r w:rsidRPr="00E2028D">
              <w:t xml:space="preserve"> safely secure the device if requested by the anaesthetist.</w:t>
            </w:r>
          </w:p>
          <w:p w:rsidR="00000000" w:rsidRPr="00E2028D" w:rsidP="00E2028D">
            <w:pPr>
              <w:pStyle w:val="List"/>
            </w:pPr>
            <w:r w:rsidRPr="00E2028D">
              <w:t>3.6. Dispose of clinical waste and consumables in accordance with waste management policies and infection control guidelines.</w:t>
            </w:r>
          </w:p>
          <w:p w:rsidR="00000000" w:rsidP="00E2028D">
            <w:pPr>
              <w:pStyle w:val="List"/>
              <w:rPr>
                <w:lang w:val="en-NZ"/>
              </w:rPr>
            </w:pPr>
            <w:r w:rsidRPr="00E2028D">
              <w:t>3.7. Ensure organisational policies and procedures are adhered to in r</w:t>
            </w:r>
            <w:r w:rsidRPr="00E2028D">
              <w:t>egard to labelling, dating and documenting intravenous cannulation sites.</w:t>
            </w:r>
          </w:p>
        </w:tc>
      </w:tr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0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28D">
            <w:pPr>
              <w:pStyle w:val="List"/>
              <w:rPr>
                <w:lang w:val="en-NZ"/>
              </w:rPr>
            </w:pPr>
            <w:r w:rsidRPr="00E2028D">
              <w:t>4.  Assist with transfer of patients.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List"/>
            </w:pPr>
            <w:r w:rsidRPr="00E2028D">
              <w:t>4.1. Plan to transfer patient into procedural or operating room according to operational requirements.</w:t>
            </w:r>
          </w:p>
          <w:p w:rsidR="00000000" w:rsidRPr="00E2028D" w:rsidP="00E2028D">
            <w:pPr>
              <w:pStyle w:val="List"/>
            </w:pPr>
            <w:r w:rsidRPr="00E2028D">
              <w:t>4.2. Ensure relevant personnel and patient are aware of the actions to be performed.</w:t>
            </w:r>
          </w:p>
          <w:p w:rsidR="00000000" w:rsidRPr="00E2028D" w:rsidP="00E2028D">
            <w:pPr>
              <w:pStyle w:val="List"/>
            </w:pPr>
            <w:r w:rsidRPr="00E2028D">
              <w:t>4.3. Detach equipment and infusions not required from the patient before the transfer takes place using appropriate aseptic technique.</w:t>
            </w:r>
          </w:p>
          <w:p w:rsidR="00000000" w:rsidRPr="00E2028D" w:rsidP="00E2028D">
            <w:pPr>
              <w:pStyle w:val="List"/>
            </w:pPr>
            <w:r w:rsidRPr="00E2028D">
              <w:t>4.4. Ensure equipment attached to th</w:t>
            </w:r>
            <w:r w:rsidRPr="00E2028D">
              <w:t>e patient is safely and correctly adjusted during transfer.</w:t>
            </w:r>
          </w:p>
          <w:p w:rsidR="00000000" w:rsidRPr="00E2028D" w:rsidP="00E2028D">
            <w:pPr>
              <w:pStyle w:val="List"/>
            </w:pPr>
            <w:r w:rsidRPr="00E2028D">
              <w:t>4.5. Employ safe moving and handling techniques during patient transfer in accordance with organisational manual handling policies and procedures.</w:t>
            </w:r>
          </w:p>
          <w:p w:rsidR="00000000" w:rsidRPr="00E2028D" w:rsidP="00E2028D">
            <w:pPr>
              <w:pStyle w:val="List"/>
            </w:pPr>
            <w:r w:rsidRPr="00E2028D">
              <w:t>4.6. Ensure movement is conducted safely and pati</w:t>
            </w:r>
            <w:r w:rsidRPr="00E2028D">
              <w:t>ent discomfort minimised.</w:t>
            </w:r>
          </w:p>
          <w:p w:rsidR="00000000" w:rsidRPr="00E2028D" w:rsidP="00E2028D">
            <w:pPr>
              <w:pStyle w:val="List"/>
            </w:pPr>
            <w:r w:rsidRPr="00E2028D">
              <w:t>4.7. Correctly re-connect and adjust equipment and infusions on completion of transfer, as necessary.</w:t>
            </w:r>
          </w:p>
          <w:p w:rsidR="00000000" w:rsidP="00E2028D">
            <w:pPr>
              <w:pStyle w:val="List"/>
              <w:rPr>
                <w:lang w:val="en-NZ"/>
              </w:rPr>
            </w:pPr>
            <w:r w:rsidRPr="00E2028D">
              <w:t>4.8. Maintain dignity of patient during transfer.</w:t>
            </w:r>
          </w:p>
        </w:tc>
      </w:tr>
      <w:tr w:rsidTr="00E20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28D">
            <w:pPr>
              <w:pStyle w:val="List"/>
              <w:rPr>
                <w:lang w:val="en-NZ"/>
              </w:rPr>
            </w:pPr>
            <w:r w:rsidRPr="00E2028D">
              <w:t>5.  Assist with positioning of patients.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28D" w:rsidP="00E2028D">
            <w:pPr>
              <w:pStyle w:val="List"/>
            </w:pPr>
            <w:r w:rsidRPr="00E2028D">
              <w:t>5.1. Inform patient of positioning p</w:t>
            </w:r>
            <w:r w:rsidRPr="00E2028D">
              <w:t xml:space="preserve">rocedures to be completed and seek their cooperation when appropriate. </w:t>
            </w:r>
          </w:p>
          <w:p w:rsidR="00000000" w:rsidRPr="00E2028D" w:rsidP="00E2028D">
            <w:pPr>
              <w:pStyle w:val="List"/>
            </w:pPr>
            <w:r w:rsidRPr="00E2028D">
              <w:t>5.2. Position patient in consultation with other health care professionals.</w:t>
            </w:r>
          </w:p>
          <w:p w:rsidR="00000000" w:rsidRPr="00E2028D" w:rsidP="00E2028D">
            <w:pPr>
              <w:pStyle w:val="List"/>
            </w:pPr>
            <w:r w:rsidRPr="00E2028D">
              <w:t xml:space="preserve">5.3. Ensure all relevant equipment is available, is functioning correctly, is correctly attached and placed </w:t>
            </w:r>
            <w:r w:rsidRPr="00E2028D">
              <w:t>in accordance with the anaesthetist’s and surgeon’s preferences and the individual needs of the patient.</w:t>
            </w:r>
          </w:p>
          <w:p w:rsidR="00000000" w:rsidRPr="00E2028D" w:rsidP="00E2028D">
            <w:pPr>
              <w:pStyle w:val="List"/>
            </w:pPr>
            <w:r w:rsidRPr="00E2028D">
              <w:t xml:space="preserve">5.4. Ensure patient is protected from injury in collaboration with other relevant health professionals. </w:t>
            </w:r>
          </w:p>
          <w:p w:rsidR="00000000" w:rsidRPr="00E2028D" w:rsidP="00E2028D">
            <w:pPr>
              <w:pStyle w:val="List"/>
            </w:pPr>
            <w:r w:rsidRPr="00E2028D">
              <w:t>5.5. Obtain assistance to position patient whe</w:t>
            </w:r>
            <w:r w:rsidRPr="00E2028D">
              <w:t>n necessary.</w:t>
            </w:r>
          </w:p>
          <w:p w:rsidR="00000000" w:rsidRPr="00E2028D" w:rsidP="00E2028D">
            <w:pPr>
              <w:pStyle w:val="List"/>
            </w:pPr>
            <w:r w:rsidRPr="00E2028D">
              <w:t>5.6. Observe any abnormal responses and report any action required to be taken to the anaesthetist.</w:t>
            </w:r>
          </w:p>
        </w:tc>
      </w:tr>
    </w:tbl>
    <w:p w:rsidR="00000000" w:rsidRPr="00E2028D" w:rsidP="00E2028D">
      <w:pPr>
        <w:pStyle w:val="BodyText"/>
      </w:pPr>
    </w:p>
    <w:p w:rsidR="00000000" w:rsidRPr="00E2028D" w:rsidP="00E2028D">
      <w:pPr>
        <w:pStyle w:val="AllowPageBreak"/>
      </w:pPr>
    </w:p>
    <w:p w:rsidR="00000000" w:rsidRPr="00E2028D" w:rsidP="00E2028D">
      <w:pPr>
        <w:pStyle w:val="Heading1"/>
      </w:pPr>
      <w:bookmarkStart w:id="7" w:name="O_1198896"/>
      <w:bookmarkEnd w:id="7"/>
      <w:r w:rsidRPr="00E2028D">
        <w:t>Foundation Skills</w:t>
      </w:r>
    </w:p>
    <w:p w:rsidR="00000000" w:rsidRPr="00E2028D" w:rsidP="00DE30DB">
      <w:pPr>
        <w:pStyle w:val="BodyText"/>
      </w:pPr>
      <w:r w:rsidRPr="00E2028D">
        <w:t>Foundation skills essential to performance are explicit in the performance criteria of this unit of competency.</w:t>
      </w:r>
    </w:p>
    <w:p w:rsidR="00000000" w:rsidRPr="00E2028D" w:rsidP="00E2028D">
      <w:pPr>
        <w:pStyle w:val="Heading1"/>
      </w:pPr>
      <w:bookmarkStart w:id="8" w:name="O_1198898"/>
      <w:bookmarkEnd w:id="8"/>
      <w:r w:rsidRPr="00E2028D">
        <w:t>Unit Mapping Information</w:t>
      </w:r>
    </w:p>
    <w:p w:rsidR="00000000" w:rsidRPr="00E2028D" w:rsidP="00DE30DB">
      <w:pPr>
        <w:pStyle w:val="BodyText"/>
      </w:pPr>
      <w:r w:rsidRPr="00E2028D">
        <w:t>Supersedes and is not equivalent to HLTANA001 Prepare clients for anaesthesia.</w:t>
      </w:r>
    </w:p>
    <w:p w:rsidR="00000000" w:rsidRPr="00E2028D" w:rsidP="00E2028D">
      <w:pPr>
        <w:pStyle w:val="Heading1"/>
      </w:pPr>
      <w:bookmarkStart w:id="9" w:name="O_1198905"/>
      <w:bookmarkEnd w:id="9"/>
      <w:r w:rsidRPr="00E2028D">
        <w:t>Li</w:t>
      </w:r>
      <w:r w:rsidRPr="00E2028D">
        <w:t>nks</w:t>
      </w:r>
    </w:p>
    <w:p w:rsidR="00000000" w:rsidRPr="00E2028D" w:rsidP="00DE30DB">
      <w:pPr>
        <w:pStyle w:val="BodyText"/>
      </w:pPr>
      <w:r w:rsidRPr="00E20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357F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2028D" w:rsidP="00E2028D"/>
    <w:sectPr w:rsidSect="00E20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8D" w:rsidRPr="00DE30DB" w:rsidP="00DE3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DB" w:rsidP="00E20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0DB" w:rsidP="00E20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30DB" w:rsidP="00E20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28D" w:rsidRPr="00DE30DB" w:rsidP="00DE3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0DB" w:rsidRPr="002D2AF8" w:rsidP="00E20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HLTANA008 Prepare patients for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E30DB" w:rsidP="00E20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28D"/>
  </w:style>
  <w:style w:type="character" w:customStyle="1" w:styleId="Heading1Char">
    <w:name w:val="Heading 1 Char"/>
    <w:basedOn w:val="DefaultParagraphFont"/>
    <w:link w:val="Heading1"/>
    <w:rsid w:val="00E20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2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028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2028D"/>
    <w:rPr>
      <w:b/>
      <w:spacing w:val="0"/>
    </w:rPr>
  </w:style>
  <w:style w:type="character" w:styleId="Emphasis">
    <w:name w:val="Emphasis"/>
    <w:basedOn w:val="DefaultParagraphFont"/>
    <w:qFormat/>
    <w:rsid w:val="00E2028D"/>
    <w:rPr>
      <w:i/>
    </w:rPr>
  </w:style>
  <w:style w:type="paragraph" w:customStyle="1" w:styleId="SuperHeading">
    <w:name w:val="SuperHeading"/>
    <w:basedOn w:val="Normal"/>
    <w:rsid w:val="00E20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2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02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0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2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2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28D"/>
  </w:style>
  <w:style w:type="paragraph" w:styleId="TableofFigures">
    <w:name w:val="table of figures"/>
    <w:basedOn w:val="Normal"/>
    <w:next w:val="Normal"/>
    <w:semiHidden/>
    <w:rsid w:val="00E20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2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028D"/>
    <w:rPr>
      <w:rFonts w:ascii="Wingdings" w:hAnsi="Wingdings"/>
    </w:rPr>
  </w:style>
  <w:style w:type="paragraph" w:customStyle="1" w:styleId="TableHeading">
    <w:name w:val="Table Heading"/>
    <w:basedOn w:val="HeadingBase"/>
    <w:rsid w:val="00E20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28D"/>
    <w:rPr>
      <w:color w:val="0033CC"/>
      <w:u w:val="none"/>
    </w:rPr>
  </w:style>
  <w:style w:type="paragraph" w:customStyle="1" w:styleId="BodyTextRight">
    <w:name w:val="Body Text Right"/>
    <w:basedOn w:val="BodyText"/>
    <w:rsid w:val="00E20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2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28D"/>
    <w:rPr>
      <w:sz w:val="32"/>
    </w:rPr>
  </w:style>
  <w:style w:type="paragraph" w:customStyle="1" w:styleId="HeadingProcedure">
    <w:name w:val="Heading Procedure"/>
    <w:basedOn w:val="HeadingBase"/>
    <w:next w:val="Normal"/>
    <w:rsid w:val="00E20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28D"/>
    <w:pPr>
      <w:spacing w:before="60" w:after="60"/>
    </w:pPr>
  </w:style>
  <w:style w:type="paragraph" w:styleId="ListContinue">
    <w:name w:val="List Continue"/>
    <w:basedOn w:val="List"/>
    <w:rsid w:val="00E2028D"/>
    <w:pPr>
      <w:ind w:firstLine="0"/>
    </w:pPr>
  </w:style>
  <w:style w:type="paragraph" w:customStyle="1" w:styleId="ListNote">
    <w:name w:val="List Note"/>
    <w:basedOn w:val="List"/>
    <w:rsid w:val="00E20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28D"/>
    <w:rPr>
      <w:rFonts w:ascii="Courier New" w:hAnsi="Courier New"/>
    </w:rPr>
  </w:style>
  <w:style w:type="paragraph" w:customStyle="1" w:styleId="NoteBullet">
    <w:name w:val="Note Bullet"/>
    <w:basedOn w:val="Note"/>
    <w:rsid w:val="00E20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2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0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28D"/>
    <w:rPr>
      <w:b/>
      <w:smallCaps/>
    </w:rPr>
  </w:style>
  <w:style w:type="paragraph" w:customStyle="1" w:styleId="TableListNumber">
    <w:name w:val="Table List Number"/>
    <w:basedOn w:val="ListNumber"/>
    <w:rsid w:val="00E20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28D"/>
    <w:pPr>
      <w:numPr>
        <w:numId w:val="7"/>
      </w:numPr>
    </w:pPr>
  </w:style>
  <w:style w:type="paragraph" w:customStyle="1" w:styleId="ListAlpha2">
    <w:name w:val="List Alpha 2"/>
    <w:basedOn w:val="List2"/>
    <w:rsid w:val="00E2028D"/>
    <w:pPr>
      <w:numPr>
        <w:numId w:val="6"/>
      </w:numPr>
    </w:pPr>
  </w:style>
  <w:style w:type="paragraph" w:styleId="List2">
    <w:name w:val="List 2"/>
    <w:basedOn w:val="BodyText"/>
    <w:rsid w:val="00E20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2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2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028D"/>
    <w:pPr>
      <w:numPr>
        <w:numId w:val="2"/>
      </w:numPr>
    </w:pPr>
  </w:style>
  <w:style w:type="paragraph" w:styleId="ListContinue2">
    <w:name w:val="List Continue 2"/>
    <w:basedOn w:val="List2"/>
    <w:rsid w:val="00E2028D"/>
    <w:pPr>
      <w:ind w:firstLine="0"/>
    </w:pPr>
  </w:style>
  <w:style w:type="paragraph" w:styleId="ListContinue3">
    <w:name w:val="List Continue 3"/>
    <w:basedOn w:val="List3"/>
    <w:rsid w:val="00E2028D"/>
    <w:pPr>
      <w:ind w:left="1021" w:firstLine="0"/>
    </w:pPr>
  </w:style>
  <w:style w:type="paragraph" w:styleId="ListContinue4">
    <w:name w:val="List Continue 4"/>
    <w:basedOn w:val="List4"/>
    <w:rsid w:val="00E2028D"/>
    <w:pPr>
      <w:ind w:firstLine="0"/>
    </w:pPr>
  </w:style>
  <w:style w:type="paragraph" w:styleId="ListContinue5">
    <w:name w:val="List Continue 5"/>
    <w:basedOn w:val="List5"/>
    <w:rsid w:val="00E2028D"/>
    <w:pPr>
      <w:ind w:firstLine="0"/>
    </w:pPr>
  </w:style>
  <w:style w:type="paragraph" w:styleId="ListNumber3">
    <w:name w:val="List Number 3"/>
    <w:basedOn w:val="List3"/>
    <w:rsid w:val="00E2028D"/>
    <w:pPr>
      <w:numPr>
        <w:numId w:val="3"/>
      </w:numPr>
    </w:pPr>
  </w:style>
  <w:style w:type="paragraph" w:styleId="ListNumber4">
    <w:name w:val="List Number 4"/>
    <w:basedOn w:val="List4"/>
    <w:rsid w:val="00E2028D"/>
    <w:pPr>
      <w:numPr>
        <w:numId w:val="4"/>
      </w:numPr>
    </w:pPr>
  </w:style>
  <w:style w:type="paragraph" w:styleId="ListNumber5">
    <w:name w:val="List Number 5"/>
    <w:basedOn w:val="List5"/>
    <w:rsid w:val="00E2028D"/>
    <w:pPr>
      <w:numPr>
        <w:numId w:val="5"/>
      </w:numPr>
    </w:pPr>
  </w:style>
  <w:style w:type="paragraph" w:styleId="BlockText">
    <w:name w:val="Block Text"/>
    <w:basedOn w:val="Normal"/>
    <w:rsid w:val="00E20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28D"/>
    <w:rPr>
      <w:sz w:val="16"/>
      <w:vertAlign w:val="superscript"/>
    </w:rPr>
  </w:style>
  <w:style w:type="character" w:customStyle="1" w:styleId="Symbols">
    <w:name w:val="Symbols"/>
    <w:basedOn w:val="DefaultParagraphFont"/>
    <w:rsid w:val="00E2028D"/>
    <w:rPr>
      <w:rFonts w:ascii="Symbol" w:hAnsi="Symbol"/>
    </w:rPr>
  </w:style>
  <w:style w:type="character" w:customStyle="1" w:styleId="MenuOptions">
    <w:name w:val="Menu Options"/>
    <w:basedOn w:val="DefaultParagraphFont"/>
    <w:rsid w:val="00E20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28D"/>
    <w:rPr>
      <w:b/>
    </w:rPr>
  </w:style>
  <w:style w:type="character" w:customStyle="1" w:styleId="Underlined">
    <w:name w:val="Underlined"/>
    <w:basedOn w:val="DefaultParagraphFont"/>
    <w:rsid w:val="00E2028D"/>
    <w:rPr>
      <w:u w:val="single"/>
    </w:rPr>
  </w:style>
  <w:style w:type="paragraph" w:customStyle="1" w:styleId="TableBodyTextRight">
    <w:name w:val="Table Body Text Right"/>
    <w:basedOn w:val="TableBodyText"/>
    <w:rsid w:val="00E20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28D"/>
    <w:rPr>
      <w:sz w:val="18"/>
    </w:rPr>
  </w:style>
  <w:style w:type="paragraph" w:customStyle="1" w:styleId="BodySmallRight">
    <w:name w:val="Body Small Right"/>
    <w:basedOn w:val="BodyTextRight"/>
    <w:rsid w:val="00E2028D"/>
    <w:rPr>
      <w:sz w:val="18"/>
      <w:szCs w:val="18"/>
    </w:rPr>
  </w:style>
  <w:style w:type="paragraph" w:customStyle="1" w:styleId="MarginEdition">
    <w:name w:val="Margin Edition"/>
    <w:basedOn w:val="MarginNote"/>
    <w:rsid w:val="00E20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28D"/>
    <w:rPr>
      <w:sz w:val="2"/>
      <w:szCs w:val="2"/>
    </w:rPr>
  </w:style>
  <w:style w:type="character" w:customStyle="1" w:styleId="Small">
    <w:name w:val="Small"/>
    <w:basedOn w:val="DefaultParagraphFont"/>
    <w:rsid w:val="00E2028D"/>
    <w:rPr>
      <w:sz w:val="16"/>
    </w:rPr>
  </w:style>
  <w:style w:type="paragraph" w:customStyle="1" w:styleId="WideTable">
    <w:name w:val="Wide Table"/>
    <w:basedOn w:val="Normal"/>
    <w:rsid w:val="00E20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28D"/>
  </w:style>
  <w:style w:type="paragraph" w:styleId="Quote">
    <w:name w:val="Quote"/>
    <w:basedOn w:val="Heading1"/>
    <w:link w:val="QuoteChar"/>
    <w:qFormat/>
    <w:rsid w:val="00E20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28D"/>
    <w:pPr>
      <w:pageBreakBefore/>
    </w:pPr>
  </w:style>
  <w:style w:type="paragraph" w:customStyle="1" w:styleId="Border">
    <w:name w:val="Border"/>
    <w:basedOn w:val="Normal"/>
    <w:qFormat/>
    <w:rsid w:val="00E20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28D"/>
    <w:rPr>
      <w:u w:val="single"/>
    </w:rPr>
  </w:style>
  <w:style w:type="character" w:customStyle="1" w:styleId="BoldandItalics">
    <w:name w:val="Bold and Italics"/>
    <w:qFormat/>
    <w:rsid w:val="00E2028D"/>
    <w:rPr>
      <w:b/>
      <w:i/>
      <w:u w:val="none"/>
    </w:rPr>
  </w:style>
  <w:style w:type="paragraph" w:styleId="BalloonText">
    <w:name w:val="Balloon Text"/>
    <w:basedOn w:val="Normal"/>
    <w:link w:val="BalloonTextChar"/>
    <w:rsid w:val="00E20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28D"/>
    <w:pPr>
      <w:spacing w:before="0" w:after="0"/>
    </w:pPr>
  </w:style>
  <w:style w:type="paragraph" w:customStyle="1" w:styleId="BodyTextBold">
    <w:name w:val="Body Text Bold"/>
    <w:basedOn w:val="BodyText"/>
    <w:qFormat/>
    <w:rsid w:val="00E2028D"/>
    <w:rPr>
      <w:b/>
    </w:rPr>
  </w:style>
  <w:style w:type="character" w:styleId="Hyperlink">
    <w:name w:val="Hyperlink"/>
    <w:basedOn w:val="DefaultParagraphFont"/>
    <w:uiPriority w:val="99"/>
    <w:unhideWhenUsed/>
    <w:rsid w:val="00DE3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4897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HLTANA008 Prepare patients for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2023-07-02T02:49:00Z</dcterms:modified>
</cp:coreProperties>
</file>