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ECE" w:rsidP="00766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HLTANA008 Prepare patients for anaesthesia</w:t>
      </w:r>
      <w:r>
        <w:fldChar w:fldCharType="end"/>
      </w:r>
    </w:p>
    <w:p w:rsidR="00766ECE" w:rsidP="00766ECE">
      <w:pPr>
        <w:pStyle w:val="Version"/>
        <w:sectPr w:rsidSect="00785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012" w:rsidP="00785012">
      <w:pPr>
        <w:pStyle w:val="SuperHeading"/>
      </w:pPr>
      <w:r w:rsidRPr="00785012">
        <w:t>Assessment Requirements for HLTANA008 Prepare patients for anaesthesia</w:t>
      </w:r>
    </w:p>
    <w:p w:rsidR="00000000" w:rsidRPr="00785012" w:rsidP="00785012">
      <w:pPr>
        <w:pStyle w:val="Heading1"/>
      </w:pPr>
      <w:bookmarkStart w:id="1" w:name="O_1198900"/>
      <w:bookmarkEnd w:id="1"/>
      <w:r w:rsidRPr="00785012">
        <w:t>Modification History</w:t>
      </w:r>
    </w:p>
    <w:p w:rsidR="00000000" w:rsidRPr="00785012" w:rsidP="00766ECE">
      <w:pPr>
        <w:pStyle w:val="BodyText"/>
      </w:pPr>
      <w:r w:rsidRPr="00785012">
        <w:t>Supersedes and is not equivalent to HLTANA001 Prepare clients for anaesthesia.</w:t>
      </w:r>
    </w:p>
    <w:p w:rsidR="00000000" w:rsidRPr="00785012" w:rsidP="00785012">
      <w:pPr>
        <w:pStyle w:val="Heading1"/>
      </w:pPr>
      <w:bookmarkStart w:id="2" w:name="O_1198901"/>
      <w:bookmarkEnd w:id="2"/>
      <w:r w:rsidRPr="00785012">
        <w:t>Performance Evidence</w:t>
      </w:r>
    </w:p>
    <w:p w:rsidR="00000000" w:rsidRPr="00785012" w:rsidP="00766ECE">
      <w:pPr>
        <w:pStyle w:val="BodyText"/>
      </w:pPr>
      <w:r w:rsidRPr="00785012">
        <w:t>Evidence of the ability to complete tasks outlined in elements and performance criteria of this unit in the context of the job role, and:</w:t>
      </w:r>
    </w:p>
    <w:p w:rsidR="00000000" w:rsidRPr="00785012" w:rsidP="00785012">
      <w:pPr>
        <w:pStyle w:val="ListBullet"/>
      </w:pPr>
      <w:r w:rsidRPr="00785012">
        <w:t>follow established technical, infection control and safety procedures to receive, prepare, transfer and position at l</w:t>
      </w:r>
      <w:r w:rsidRPr="00785012">
        <w:t>east 10 different patients for procedures involving anaesthesia</w:t>
      </w:r>
    </w:p>
    <w:p w:rsidR="00000000" w:rsidRPr="00785012" w:rsidP="00785012">
      <w:pPr>
        <w:pStyle w:val="ListBullet"/>
      </w:pPr>
      <w:r w:rsidRPr="00785012">
        <w:t>place a patient in each of the following positions at least once across the 10 patients:</w:t>
      </w:r>
    </w:p>
    <w:p w:rsidR="00000000" w:rsidRPr="00785012" w:rsidP="00785012">
      <w:pPr>
        <w:pStyle w:val="ListBullet2"/>
      </w:pPr>
      <w:r w:rsidRPr="00785012">
        <w:t>prone</w:t>
      </w:r>
    </w:p>
    <w:p w:rsidR="00000000" w:rsidRPr="00785012" w:rsidP="00785012">
      <w:pPr>
        <w:pStyle w:val="ListBullet2"/>
      </w:pPr>
      <w:r w:rsidRPr="00785012">
        <w:t>lateral</w:t>
      </w:r>
    </w:p>
    <w:p w:rsidR="00000000" w:rsidRPr="00785012" w:rsidP="00785012">
      <w:pPr>
        <w:pStyle w:val="ListBullet2"/>
      </w:pPr>
      <w:r w:rsidRPr="00785012">
        <w:t>lithotomy</w:t>
      </w:r>
    </w:p>
    <w:p w:rsidR="00000000" w:rsidRPr="00785012" w:rsidP="00785012">
      <w:pPr>
        <w:pStyle w:val="ListBullet2"/>
      </w:pPr>
      <w:r w:rsidRPr="00785012">
        <w:t>supine</w:t>
      </w:r>
    </w:p>
    <w:p w:rsidR="00000000" w:rsidRPr="00785012" w:rsidP="00785012">
      <w:pPr>
        <w:pStyle w:val="ListBullet2"/>
      </w:pPr>
      <w:r w:rsidRPr="00785012">
        <w:t>Trendelenburg</w:t>
      </w:r>
    </w:p>
    <w:p w:rsidR="00000000" w:rsidRPr="00785012" w:rsidP="00785012">
      <w:pPr>
        <w:pStyle w:val="ListBullet2"/>
      </w:pPr>
      <w:r w:rsidRPr="00785012">
        <w:t>reverse Trendelenburg</w:t>
      </w:r>
    </w:p>
    <w:p w:rsidR="00000000" w:rsidRPr="00785012" w:rsidP="00785012">
      <w:pPr>
        <w:pStyle w:val="ListBullet2"/>
      </w:pPr>
      <w:r w:rsidRPr="00785012">
        <w:t>beach chair</w:t>
      </w:r>
    </w:p>
    <w:p w:rsidR="00000000" w:rsidRPr="00785012" w:rsidP="00785012">
      <w:pPr>
        <w:pStyle w:val="ListBullet"/>
      </w:pPr>
      <w:r w:rsidRPr="00785012">
        <w:t xml:space="preserve">provide assistance with insertion of intravenous cannulation on at least 25 occasions </w:t>
      </w:r>
    </w:p>
    <w:p w:rsidR="00000000" w:rsidRPr="00785012" w:rsidP="00785012">
      <w:pPr>
        <w:pStyle w:val="ListBullet"/>
      </w:pPr>
      <w:r w:rsidRPr="00785012">
        <w:t>use at least three of the following pieces of equipment correctly:</w:t>
      </w:r>
    </w:p>
    <w:p w:rsidR="00000000" w:rsidRPr="00785012" w:rsidP="00785012">
      <w:pPr>
        <w:pStyle w:val="ListBullet2"/>
      </w:pPr>
      <w:r w:rsidRPr="00785012">
        <w:t>beds</w:t>
      </w:r>
    </w:p>
    <w:p w:rsidR="00000000" w:rsidRPr="00785012" w:rsidP="00785012">
      <w:pPr>
        <w:pStyle w:val="ListBullet2"/>
      </w:pPr>
      <w:r w:rsidRPr="00785012">
        <w:t>cots</w:t>
      </w:r>
    </w:p>
    <w:p w:rsidR="00000000" w:rsidRPr="00785012" w:rsidP="00785012">
      <w:pPr>
        <w:pStyle w:val="ListBullet2"/>
      </w:pPr>
      <w:r w:rsidRPr="00785012">
        <w:t>theatre trolley</w:t>
      </w:r>
    </w:p>
    <w:p w:rsidR="00000000" w:rsidRPr="00785012" w:rsidP="00785012">
      <w:pPr>
        <w:pStyle w:val="ListBullet2"/>
      </w:pPr>
      <w:r w:rsidRPr="00785012">
        <w:t>operating table</w:t>
      </w:r>
    </w:p>
    <w:p w:rsidR="00000000" w:rsidRPr="00785012" w:rsidP="00785012">
      <w:pPr>
        <w:pStyle w:val="ListBullet2"/>
      </w:pPr>
      <w:r w:rsidRPr="00785012">
        <w:t>patient handling equipment, including specialised equipment</w:t>
      </w:r>
    </w:p>
    <w:p w:rsidR="00000000" w:rsidRPr="00785012" w:rsidP="00785012">
      <w:pPr>
        <w:pStyle w:val="ListBullet2"/>
      </w:pPr>
      <w:r w:rsidRPr="00785012">
        <w:t>wheelchairs</w:t>
      </w:r>
    </w:p>
    <w:p w:rsidR="00000000" w:rsidRPr="00785012" w:rsidP="00785012">
      <w:pPr>
        <w:pStyle w:val="ListBullet2"/>
      </w:pPr>
      <w:r w:rsidRPr="00785012">
        <w:t>positioning equipment</w:t>
      </w:r>
    </w:p>
    <w:p w:rsidR="00000000" w:rsidRPr="00785012" w:rsidP="00785012">
      <w:pPr>
        <w:pStyle w:val="ListBullet2"/>
      </w:pPr>
      <w:r w:rsidRPr="00785012">
        <w:t>slide sheet and board</w:t>
      </w:r>
    </w:p>
    <w:p w:rsidR="00000000" w:rsidRPr="00785012" w:rsidP="00785012">
      <w:pPr>
        <w:pStyle w:val="ListBullet2"/>
      </w:pPr>
      <w:r w:rsidRPr="00785012">
        <w:t xml:space="preserve">hover matt </w:t>
      </w:r>
    </w:p>
    <w:p w:rsidR="00000000" w:rsidRPr="00785012" w:rsidP="00785012">
      <w:pPr>
        <w:pStyle w:val="ListBullet"/>
      </w:pPr>
      <w:r w:rsidRPr="00785012">
        <w:t>perform the activities outlined in the performance criteria of this unit during a period of at least 360 hours of work related to anaesthetic technology in a clinical workplace environme</w:t>
      </w:r>
      <w:r w:rsidRPr="00785012">
        <w:t>nt. These 360 hours may be applied collectively across all units of competency that include the requirement for workplace hours for the purposes of assessment.</w:t>
      </w:r>
    </w:p>
    <w:p w:rsidR="00000000" w:rsidRPr="00785012" w:rsidP="00785012">
      <w:pPr>
        <w:pStyle w:val="AllowPageBreak"/>
      </w:pPr>
    </w:p>
    <w:p w:rsidR="00000000" w:rsidRPr="00785012" w:rsidP="00785012">
      <w:pPr>
        <w:pStyle w:val="Heading1"/>
      </w:pPr>
      <w:bookmarkStart w:id="3" w:name="O_1198902"/>
      <w:bookmarkEnd w:id="3"/>
      <w:r w:rsidRPr="00785012">
        <w:t>Knowledge Evidence</w:t>
      </w:r>
    </w:p>
    <w:p w:rsidR="00000000" w:rsidRPr="00785012" w:rsidP="00766ECE">
      <w:pPr>
        <w:pStyle w:val="BodyText"/>
      </w:pPr>
      <w:r w:rsidRPr="00785012">
        <w:t xml:space="preserve">Demonstrated knowledge required to </w:t>
      </w:r>
      <w:r w:rsidRPr="00785012">
        <w:t>complete the tasks outlined in elements and performance criteria of this unit:</w:t>
      </w:r>
    </w:p>
    <w:p w:rsidR="00000000" w:rsidRPr="00785012" w:rsidP="00785012">
      <w:pPr>
        <w:pStyle w:val="ListBullet"/>
      </w:pPr>
      <w:r>
        <w:t>•</w:t>
      </w:r>
      <w:r>
        <w:tab/>
      </w:r>
      <w:r w:rsidRPr="00785012">
        <w:t>national, state or territory legal and ethical considerations for patient preparation, and how these are applied in organisations:</w:t>
      </w:r>
    </w:p>
    <w:p w:rsidR="00000000" w:rsidRPr="00785012" w:rsidP="00785012">
      <w:pPr>
        <w:pStyle w:val="ListBullet2"/>
      </w:pPr>
      <w:r w:rsidRPr="00785012">
        <w:t>codes of practice</w:t>
      </w:r>
    </w:p>
    <w:p w:rsidR="00000000" w:rsidRPr="00785012" w:rsidP="00785012">
      <w:pPr>
        <w:pStyle w:val="ListBullet2"/>
      </w:pPr>
      <w:r w:rsidRPr="00785012">
        <w:t>duty of care</w:t>
      </w:r>
    </w:p>
    <w:p w:rsidR="00000000" w:rsidRPr="00785012" w:rsidP="00785012">
      <w:pPr>
        <w:pStyle w:val="ListBullet2"/>
      </w:pPr>
      <w:r w:rsidRPr="00785012">
        <w:t>infection pr</w:t>
      </w:r>
      <w:r w:rsidRPr="00785012">
        <w:t xml:space="preserve">evention and control </w:t>
      </w:r>
    </w:p>
    <w:p w:rsidR="00000000" w:rsidRPr="00785012" w:rsidP="00785012">
      <w:pPr>
        <w:pStyle w:val="ListBullet2"/>
      </w:pPr>
      <w:r w:rsidRPr="00785012">
        <w:t xml:space="preserve">informed consent </w:t>
      </w:r>
    </w:p>
    <w:p w:rsidR="00000000" w:rsidRPr="00785012" w:rsidP="00785012">
      <w:pPr>
        <w:pStyle w:val="ListBullet2"/>
      </w:pPr>
      <w:r w:rsidRPr="00785012">
        <w:t xml:space="preserve">mandatory reporting </w:t>
      </w:r>
    </w:p>
    <w:p w:rsidR="00000000" w:rsidRPr="00785012" w:rsidP="00785012">
      <w:pPr>
        <w:pStyle w:val="ListBullet2"/>
      </w:pPr>
      <w:r w:rsidRPr="00785012">
        <w:t>privacy, confidentiality and disclosure</w:t>
      </w:r>
    </w:p>
    <w:p w:rsidR="00000000" w:rsidRPr="00785012" w:rsidP="00785012">
      <w:pPr>
        <w:pStyle w:val="ListBullet2"/>
      </w:pPr>
      <w:r w:rsidRPr="00785012">
        <w:t xml:space="preserve">records management </w:t>
      </w:r>
    </w:p>
    <w:p w:rsidR="00000000" w:rsidRPr="00785012" w:rsidP="00785012">
      <w:pPr>
        <w:pStyle w:val="ListBullet2"/>
      </w:pPr>
      <w:r w:rsidRPr="00785012">
        <w:t>rights and responsibilities of workers, employers and patients</w:t>
      </w:r>
    </w:p>
    <w:p w:rsidR="00000000" w:rsidRPr="00785012" w:rsidP="00785012">
      <w:pPr>
        <w:pStyle w:val="ListBullet2"/>
      </w:pPr>
      <w:r w:rsidRPr="00785012">
        <w:t>work role boundaries including responsibilities and limitations</w:t>
      </w:r>
    </w:p>
    <w:p w:rsidR="00000000" w:rsidRPr="00785012" w:rsidP="00785012">
      <w:pPr>
        <w:pStyle w:val="ListBullet2"/>
      </w:pPr>
      <w:r w:rsidRPr="00785012">
        <w:t>work hea</w:t>
      </w:r>
      <w:r w:rsidRPr="00785012">
        <w:t>lth and safety (WHS), manual handling and safe patient transfer and positioning techniques</w:t>
      </w:r>
    </w:p>
    <w:p w:rsidR="00000000" w:rsidRPr="00785012" w:rsidP="00785012">
      <w:pPr>
        <w:pStyle w:val="ListBullet2"/>
      </w:pPr>
      <w:r w:rsidRPr="00785012">
        <w:t xml:space="preserve">World Health Organisation </w:t>
      </w:r>
    </w:p>
    <w:p w:rsidR="00000000" w:rsidRPr="00785012" w:rsidP="00785012">
      <w:pPr>
        <w:pStyle w:val="ListBullet"/>
      </w:pPr>
      <w:r w:rsidRPr="00785012">
        <w:t>organisational policies and procedures for patient intake:</w:t>
      </w:r>
    </w:p>
    <w:p w:rsidR="00000000" w:rsidRPr="00785012" w:rsidP="00785012">
      <w:pPr>
        <w:pStyle w:val="ListBullet2"/>
      </w:pPr>
      <w:r w:rsidRPr="00785012">
        <w:t>confirmation of identity</w:t>
      </w:r>
    </w:p>
    <w:p w:rsidR="00000000" w:rsidRPr="00785012" w:rsidP="00785012">
      <w:pPr>
        <w:pStyle w:val="ListBullet3"/>
      </w:pPr>
      <w:r w:rsidRPr="00785012">
        <w:t>appropriate number of identifiers</w:t>
      </w:r>
    </w:p>
    <w:p w:rsidR="00000000" w:rsidRPr="00785012" w:rsidP="00785012">
      <w:pPr>
        <w:pStyle w:val="ListBullet3"/>
      </w:pPr>
      <w:r w:rsidRPr="00785012">
        <w:t>correlation with identification band</w:t>
      </w:r>
    </w:p>
    <w:p w:rsidR="00000000" w:rsidRPr="00785012" w:rsidP="00785012">
      <w:pPr>
        <w:pStyle w:val="ListBullet3"/>
      </w:pPr>
      <w:r w:rsidRPr="00785012">
        <w:t>other identification procedures</w:t>
      </w:r>
    </w:p>
    <w:p w:rsidR="00000000" w:rsidRPr="00785012" w:rsidP="00785012">
      <w:pPr>
        <w:pStyle w:val="ListBullet2"/>
      </w:pPr>
      <w:r w:rsidRPr="00785012">
        <w:t>patient notes</w:t>
      </w:r>
    </w:p>
    <w:p w:rsidR="00000000" w:rsidRPr="00785012" w:rsidP="00785012">
      <w:pPr>
        <w:pStyle w:val="ListBullet2"/>
      </w:pPr>
      <w:r w:rsidRPr="00785012">
        <w:t>completed consent form</w:t>
      </w:r>
    </w:p>
    <w:p w:rsidR="00000000" w:rsidRPr="00785012" w:rsidP="00785012">
      <w:pPr>
        <w:pStyle w:val="ListBullet"/>
      </w:pPr>
      <w:r w:rsidRPr="00785012">
        <w:t>function and use of surgical safety lists</w:t>
      </w:r>
    </w:p>
    <w:p w:rsidR="00000000" w:rsidRPr="00785012" w:rsidP="00785012">
      <w:pPr>
        <w:pStyle w:val="ListBullet"/>
      </w:pPr>
      <w:r w:rsidRPr="00785012">
        <w:t>requirements of the World Health Organisation Surgical Safety Checklist including the Sign In prior to surgery and the Sign Out and Time Out at the conclusion of surgery</w:t>
      </w:r>
    </w:p>
    <w:p w:rsidR="00000000" w:rsidRPr="00785012" w:rsidP="00785012">
      <w:pPr>
        <w:pStyle w:val="ListBullet"/>
      </w:pPr>
      <w:r w:rsidRPr="00785012">
        <w:t>patient drains and traction attachments</w:t>
      </w:r>
    </w:p>
    <w:p w:rsidR="00000000" w:rsidRPr="00785012" w:rsidP="00785012">
      <w:pPr>
        <w:pStyle w:val="ListBullet"/>
      </w:pPr>
      <w:r w:rsidRPr="00785012">
        <w:t xml:space="preserve">pre-medications and their effects relevant to </w:t>
      </w:r>
      <w:r w:rsidRPr="00785012">
        <w:t>providing assistance in anaesthesia</w:t>
      </w:r>
    </w:p>
    <w:p w:rsidR="00000000" w:rsidRPr="00785012" w:rsidP="00785012">
      <w:pPr>
        <w:pStyle w:val="ListBullet"/>
      </w:pPr>
      <w:r w:rsidRPr="00785012">
        <w:t xml:space="preserve">anatomy, physiology and pathophysiology factors that impact patient positioning and equipment interface for different patient groups </w:t>
      </w:r>
    </w:p>
    <w:p w:rsidR="00000000" w:rsidRPr="00785012" w:rsidP="00785012">
      <w:pPr>
        <w:pStyle w:val="ListBullet"/>
      </w:pPr>
      <w:r w:rsidRPr="00785012">
        <w:t>medical terminology specific to patient procedures:</w:t>
      </w:r>
    </w:p>
    <w:p w:rsidR="00000000" w:rsidRPr="00785012" w:rsidP="00785012">
      <w:pPr>
        <w:pStyle w:val="ListBullet2"/>
      </w:pPr>
      <w:r w:rsidRPr="00785012">
        <w:t>preparation</w:t>
      </w:r>
    </w:p>
    <w:p w:rsidR="00000000" w:rsidRPr="00785012" w:rsidP="00785012">
      <w:pPr>
        <w:pStyle w:val="ListBullet2"/>
      </w:pPr>
      <w:r w:rsidRPr="00785012">
        <w:t>attachment and detach</w:t>
      </w:r>
      <w:r w:rsidRPr="00785012">
        <w:t>ment of equipment</w:t>
      </w:r>
    </w:p>
    <w:p w:rsidR="00000000" w:rsidRPr="00785012" w:rsidP="00785012">
      <w:pPr>
        <w:pStyle w:val="ListBullet2"/>
      </w:pPr>
      <w:r w:rsidRPr="00785012">
        <w:t>positioning</w:t>
      </w:r>
    </w:p>
    <w:p w:rsidR="00000000" w:rsidRPr="00785012" w:rsidP="00785012">
      <w:pPr>
        <w:pStyle w:val="ListBullet2"/>
      </w:pPr>
      <w:r w:rsidRPr="00785012">
        <w:t>transfer</w:t>
      </w:r>
    </w:p>
    <w:p w:rsidR="00000000" w:rsidRPr="00785012" w:rsidP="00785012">
      <w:pPr>
        <w:pStyle w:val="ListBullet"/>
      </w:pPr>
      <w:r w:rsidRPr="00785012">
        <w:t>clinical documentation and handover</w:t>
      </w:r>
    </w:p>
    <w:p w:rsidR="00000000" w:rsidRPr="00785012" w:rsidP="00785012">
      <w:pPr>
        <w:pStyle w:val="ListBullet"/>
      </w:pPr>
      <w:r w:rsidRPr="00785012">
        <w:t>tasks involved in patient preparation for surgery including:</w:t>
      </w:r>
    </w:p>
    <w:p w:rsidR="00000000" w:rsidRPr="00785012" w:rsidP="00785012">
      <w:pPr>
        <w:pStyle w:val="ListBullet2"/>
      </w:pPr>
      <w:r w:rsidRPr="00785012">
        <w:t>premedications and routine medications</w:t>
      </w:r>
    </w:p>
    <w:p w:rsidR="00000000" w:rsidRPr="00785012" w:rsidP="00785012">
      <w:pPr>
        <w:pStyle w:val="ListBullet2"/>
      </w:pPr>
      <w:r w:rsidRPr="00785012">
        <w:t>anti-thromboembolic devices</w:t>
      </w:r>
    </w:p>
    <w:p w:rsidR="00000000" w:rsidRPr="00785012" w:rsidP="00785012">
      <w:pPr>
        <w:pStyle w:val="ListBullet2"/>
      </w:pPr>
      <w:r w:rsidRPr="00785012">
        <w:t>removal of personal items</w:t>
      </w:r>
    </w:p>
    <w:p w:rsidR="00000000" w:rsidRPr="00785012" w:rsidP="00785012">
      <w:pPr>
        <w:pStyle w:val="ListBullet2"/>
      </w:pPr>
      <w:r w:rsidRPr="00785012">
        <w:t>toileting</w:t>
      </w:r>
    </w:p>
    <w:p w:rsidR="00000000" w:rsidRPr="00785012" w:rsidP="00785012">
      <w:pPr>
        <w:pStyle w:val="ListBullet2"/>
      </w:pPr>
      <w:r w:rsidRPr="00785012">
        <w:t>fasting</w:t>
      </w:r>
    </w:p>
    <w:p w:rsidR="00000000" w:rsidRPr="00785012" w:rsidP="00785012">
      <w:pPr>
        <w:pStyle w:val="ListBullet2"/>
      </w:pPr>
      <w:r w:rsidRPr="00785012">
        <w:t>pathology testing</w:t>
      </w:r>
    </w:p>
    <w:p w:rsidR="00000000" w:rsidRPr="00785012" w:rsidP="00785012">
      <w:pPr>
        <w:pStyle w:val="ListBullet2"/>
      </w:pPr>
      <w:r w:rsidRPr="00785012">
        <w:t>clinical measurements</w:t>
      </w:r>
    </w:p>
    <w:p w:rsidR="00000000" w:rsidRPr="00785012" w:rsidP="00785012">
      <w:pPr>
        <w:pStyle w:val="ListBullet2"/>
      </w:pPr>
      <w:r w:rsidRPr="00785012">
        <w:t>radiological investigations</w:t>
      </w:r>
    </w:p>
    <w:p w:rsidR="00000000" w:rsidRPr="00785012" w:rsidP="00785012">
      <w:pPr>
        <w:pStyle w:val="ListBullet2"/>
      </w:pPr>
      <w:r w:rsidRPr="00785012">
        <w:t>pre-warming</w:t>
      </w:r>
    </w:p>
    <w:p w:rsidR="00000000" w:rsidRPr="00785012" w:rsidP="00785012">
      <w:pPr>
        <w:pStyle w:val="ListBullet2"/>
      </w:pPr>
      <w:r w:rsidRPr="00785012">
        <w:t>surgical site preparation</w:t>
      </w:r>
    </w:p>
    <w:p w:rsidR="00000000" w:rsidRPr="00785012" w:rsidP="00785012">
      <w:pPr>
        <w:pStyle w:val="ListBullet2"/>
      </w:pPr>
      <w:r w:rsidRPr="00785012">
        <w:t xml:space="preserve">allergy identification and clarification </w:t>
      </w:r>
    </w:p>
    <w:p w:rsidR="00000000" w:rsidRPr="00785012" w:rsidP="00785012">
      <w:pPr>
        <w:pStyle w:val="ListBullet"/>
      </w:pPr>
      <w:r w:rsidRPr="00785012">
        <w:t>how to attach routine monitoring and equipment, including:</w:t>
      </w:r>
    </w:p>
    <w:p w:rsidR="00000000" w:rsidRPr="00785012" w:rsidP="00785012">
      <w:pPr>
        <w:pStyle w:val="ListBullet2"/>
      </w:pPr>
      <w:r w:rsidRPr="00785012">
        <w:t>electrocardiography (ECG)</w:t>
      </w:r>
    </w:p>
    <w:p w:rsidR="00000000" w:rsidRPr="00785012" w:rsidP="00785012">
      <w:pPr>
        <w:pStyle w:val="ListBullet2"/>
      </w:pPr>
      <w:r w:rsidRPr="00785012">
        <w:t>non-invasive blood pr</w:t>
      </w:r>
      <w:r w:rsidRPr="00785012">
        <w:t>essure cuff</w:t>
      </w:r>
    </w:p>
    <w:p w:rsidR="00000000" w:rsidRPr="00785012" w:rsidP="00785012">
      <w:pPr>
        <w:pStyle w:val="ListBullet2"/>
      </w:pPr>
      <w:r w:rsidRPr="00785012">
        <w:t>pulse oximetry</w:t>
      </w:r>
    </w:p>
    <w:p w:rsidR="00000000" w:rsidRPr="00785012" w:rsidP="00785012">
      <w:pPr>
        <w:pStyle w:val="ListBullet2"/>
      </w:pPr>
      <w:r w:rsidRPr="00785012">
        <w:t>gas analysers (Capnography)</w:t>
      </w:r>
    </w:p>
    <w:p w:rsidR="00000000" w:rsidRPr="00785012" w:rsidP="00785012">
      <w:pPr>
        <w:pStyle w:val="ListBullet2"/>
      </w:pPr>
      <w:r w:rsidRPr="00785012">
        <w:t>anti-thromboembolic devices</w:t>
      </w:r>
    </w:p>
    <w:p w:rsidR="00000000" w:rsidRPr="00785012" w:rsidP="00785012">
      <w:pPr>
        <w:pStyle w:val="ListBullet2"/>
      </w:pPr>
      <w:r w:rsidRPr="00785012">
        <w:t>diathermy plate</w:t>
      </w:r>
    </w:p>
    <w:p w:rsidR="00000000" w:rsidRPr="00785012" w:rsidP="00785012">
      <w:pPr>
        <w:pStyle w:val="ListBullet2"/>
      </w:pPr>
      <w:r w:rsidRPr="00785012">
        <w:t>warming devices</w:t>
      </w:r>
    </w:p>
    <w:p w:rsidR="00000000" w:rsidRPr="00785012" w:rsidP="00785012">
      <w:pPr>
        <w:pStyle w:val="ListBullet2"/>
      </w:pPr>
      <w:r w:rsidRPr="00785012">
        <w:t>patient padding and protection</w:t>
      </w:r>
    </w:p>
    <w:p w:rsidR="00000000" w:rsidRPr="00785012" w:rsidP="00785012">
      <w:pPr>
        <w:pStyle w:val="ListBullet2"/>
      </w:pPr>
      <w:r w:rsidRPr="00785012">
        <w:t>entropy</w:t>
      </w:r>
    </w:p>
    <w:p w:rsidR="00000000" w:rsidRPr="00785012" w:rsidP="00785012">
      <w:pPr>
        <w:pStyle w:val="ListBullet"/>
      </w:pPr>
      <w:r w:rsidRPr="00785012">
        <w:t>intravenous access techniques and equipment used.</w:t>
      </w:r>
    </w:p>
    <w:p w:rsidR="00000000" w:rsidRPr="00785012" w:rsidP="00785012">
      <w:pPr>
        <w:pStyle w:val="AllowPageBreak"/>
      </w:pPr>
    </w:p>
    <w:p w:rsidR="00000000" w:rsidRPr="00785012" w:rsidP="00785012">
      <w:pPr>
        <w:pStyle w:val="Heading1"/>
      </w:pPr>
      <w:bookmarkStart w:id="4" w:name="O_1198903"/>
      <w:bookmarkEnd w:id="4"/>
      <w:r w:rsidRPr="00785012">
        <w:t>Assessment Conditions</w:t>
      </w:r>
    </w:p>
    <w:p w:rsidR="00000000" w:rsidRPr="00785012" w:rsidP="00766ECE">
      <w:pPr>
        <w:pStyle w:val="BodyText"/>
      </w:pPr>
      <w:r w:rsidRPr="00785012">
        <w:t xml:space="preserve">Skills must be demonstrated in the workplace with the addition of simulations and scenarios where the full range of contexts and situations have not been provided in the workplace. </w:t>
      </w:r>
    </w:p>
    <w:p w:rsidR="00000000" w:rsidRPr="00785012" w:rsidP="00766ECE">
      <w:pPr>
        <w:pStyle w:val="BodyText"/>
      </w:pPr>
      <w:r w:rsidRPr="00785012">
        <w:t>Assessment must ensure access to:</w:t>
      </w:r>
    </w:p>
    <w:p w:rsidR="00000000" w:rsidRPr="00785012" w:rsidP="00785012">
      <w:pPr>
        <w:pStyle w:val="ListBullet"/>
      </w:pPr>
      <w:r w:rsidRPr="00785012">
        <w:t>use of suitable facilities, equipment a</w:t>
      </w:r>
      <w:r w:rsidRPr="00785012">
        <w:t>nd resources</w:t>
      </w:r>
    </w:p>
    <w:p w:rsidR="00000000" w:rsidRPr="00785012" w:rsidP="00785012">
      <w:pPr>
        <w:pStyle w:val="ListBullet"/>
      </w:pPr>
      <w:r w:rsidRPr="00785012">
        <w:t>modelling of industry operating conditions, including presence of situations requiring problem solving in non-routine situations.</w:t>
      </w:r>
    </w:p>
    <w:p w:rsidR="00000000" w:rsidRPr="00785012" w:rsidP="00766ECE">
      <w:pPr>
        <w:pStyle w:val="BodyText"/>
      </w:pPr>
      <w:r w:rsidRPr="00785012">
        <w:t>Assessors must satisfy the Standards for Registered Training Organisations’ requirements for assessors.</w:t>
      </w:r>
    </w:p>
    <w:p w:rsidR="00000000" w:rsidRPr="00785012" w:rsidP="00785012">
      <w:pPr>
        <w:pStyle w:val="Heading1"/>
      </w:pPr>
      <w:bookmarkStart w:id="5" w:name="O_1198906"/>
      <w:bookmarkEnd w:id="5"/>
      <w:r w:rsidRPr="00785012">
        <w:t>Links</w:t>
      </w:r>
    </w:p>
    <w:p w:rsidR="00000000" w:rsidRPr="00785012" w:rsidP="00766ECE">
      <w:pPr>
        <w:pStyle w:val="BodyText"/>
      </w:pPr>
      <w:r w:rsidRPr="007850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D30B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85012" w:rsidP="00785012"/>
    <w:sectPr w:rsidSect="007850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12" w:rsidRPr="00766ECE" w:rsidP="00766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ECE" w:rsidP="00785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ECE" w:rsidP="00785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6ECE" w:rsidP="00785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012" w:rsidRPr="00766ECE" w:rsidP="00766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ECE" w:rsidRPr="002D2AF8" w:rsidP="00785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HLTANA008 Prepare patients for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66ECE" w:rsidP="00785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EAC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90A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7AC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012"/>
  </w:style>
  <w:style w:type="character" w:customStyle="1" w:styleId="Heading1Char">
    <w:name w:val="Heading 1 Char"/>
    <w:basedOn w:val="DefaultParagraphFont"/>
    <w:link w:val="Heading1"/>
    <w:rsid w:val="00785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0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0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50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5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50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5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0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0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0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5012"/>
    <w:rPr>
      <w:b/>
      <w:spacing w:val="0"/>
    </w:rPr>
  </w:style>
  <w:style w:type="paragraph" w:customStyle="1" w:styleId="SuperTitle">
    <w:name w:val="SuperTitle"/>
    <w:basedOn w:val="Title"/>
    <w:rsid w:val="00785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0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012"/>
    <w:rPr>
      <w:i/>
    </w:rPr>
  </w:style>
  <w:style w:type="paragraph" w:styleId="Caption">
    <w:name w:val="caption"/>
    <w:basedOn w:val="BodyText"/>
    <w:next w:val="Normal"/>
    <w:qFormat/>
    <w:rsid w:val="00785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012"/>
  </w:style>
  <w:style w:type="paragraph" w:styleId="TableofFigures">
    <w:name w:val="table of figures"/>
    <w:basedOn w:val="Normal"/>
    <w:next w:val="Normal"/>
    <w:semiHidden/>
    <w:rsid w:val="00785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0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5012"/>
    <w:rPr>
      <w:rFonts w:ascii="Wingdings" w:hAnsi="Wingdings"/>
    </w:rPr>
  </w:style>
  <w:style w:type="paragraph" w:customStyle="1" w:styleId="TableHeading">
    <w:name w:val="Table Heading"/>
    <w:basedOn w:val="HeadingBase"/>
    <w:rsid w:val="00785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012"/>
    <w:rPr>
      <w:color w:val="0033CC"/>
      <w:u w:val="none"/>
    </w:rPr>
  </w:style>
  <w:style w:type="paragraph" w:customStyle="1" w:styleId="BodyTextRight">
    <w:name w:val="Body Text Right"/>
    <w:basedOn w:val="BodyText"/>
    <w:rsid w:val="00785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0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012"/>
    <w:rPr>
      <w:sz w:val="32"/>
    </w:rPr>
  </w:style>
  <w:style w:type="paragraph" w:customStyle="1" w:styleId="HeadingProcedure">
    <w:name w:val="Heading Procedure"/>
    <w:basedOn w:val="HeadingBase"/>
    <w:next w:val="Normal"/>
    <w:rsid w:val="00785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012"/>
    <w:pPr>
      <w:spacing w:before="60" w:after="60"/>
    </w:pPr>
  </w:style>
  <w:style w:type="paragraph" w:styleId="ListContinue">
    <w:name w:val="List Continue"/>
    <w:basedOn w:val="List"/>
    <w:rsid w:val="00785012"/>
    <w:pPr>
      <w:ind w:firstLine="0"/>
    </w:pPr>
  </w:style>
  <w:style w:type="paragraph" w:customStyle="1" w:styleId="ListNote">
    <w:name w:val="List Note"/>
    <w:basedOn w:val="List"/>
    <w:rsid w:val="00785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012"/>
    <w:rPr>
      <w:rFonts w:ascii="Courier New" w:hAnsi="Courier New"/>
    </w:rPr>
  </w:style>
  <w:style w:type="paragraph" w:customStyle="1" w:styleId="NoteBullet">
    <w:name w:val="Note Bullet"/>
    <w:basedOn w:val="Note"/>
    <w:rsid w:val="00785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0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5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012"/>
    <w:rPr>
      <w:b/>
      <w:smallCaps/>
    </w:rPr>
  </w:style>
  <w:style w:type="paragraph" w:customStyle="1" w:styleId="TableListNumber">
    <w:name w:val="Table List Number"/>
    <w:basedOn w:val="ListNumber"/>
    <w:rsid w:val="00785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012"/>
    <w:pPr>
      <w:numPr>
        <w:numId w:val="10"/>
      </w:numPr>
    </w:pPr>
  </w:style>
  <w:style w:type="paragraph" w:customStyle="1" w:styleId="ListAlpha2">
    <w:name w:val="List Alpha 2"/>
    <w:basedOn w:val="List2"/>
    <w:rsid w:val="00785012"/>
    <w:pPr>
      <w:numPr>
        <w:numId w:val="9"/>
      </w:numPr>
    </w:pPr>
  </w:style>
  <w:style w:type="paragraph" w:styleId="List2">
    <w:name w:val="List 2"/>
    <w:basedOn w:val="BodyText"/>
    <w:rsid w:val="007850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0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50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5012"/>
    <w:pPr>
      <w:numPr>
        <w:numId w:val="5"/>
      </w:numPr>
    </w:pPr>
  </w:style>
  <w:style w:type="paragraph" w:styleId="ListContinue2">
    <w:name w:val="List Continue 2"/>
    <w:basedOn w:val="List2"/>
    <w:rsid w:val="00785012"/>
    <w:pPr>
      <w:ind w:firstLine="0"/>
    </w:pPr>
  </w:style>
  <w:style w:type="paragraph" w:styleId="ListContinue3">
    <w:name w:val="List Continue 3"/>
    <w:basedOn w:val="List3"/>
    <w:rsid w:val="00785012"/>
    <w:pPr>
      <w:ind w:left="1021" w:firstLine="0"/>
    </w:pPr>
  </w:style>
  <w:style w:type="paragraph" w:styleId="ListContinue4">
    <w:name w:val="List Continue 4"/>
    <w:basedOn w:val="List4"/>
    <w:rsid w:val="00785012"/>
    <w:pPr>
      <w:ind w:firstLine="0"/>
    </w:pPr>
  </w:style>
  <w:style w:type="paragraph" w:styleId="ListContinue5">
    <w:name w:val="List Continue 5"/>
    <w:basedOn w:val="List5"/>
    <w:rsid w:val="00785012"/>
    <w:pPr>
      <w:ind w:firstLine="0"/>
    </w:pPr>
  </w:style>
  <w:style w:type="paragraph" w:styleId="ListNumber3">
    <w:name w:val="List Number 3"/>
    <w:basedOn w:val="List3"/>
    <w:rsid w:val="00785012"/>
    <w:pPr>
      <w:numPr>
        <w:numId w:val="6"/>
      </w:numPr>
    </w:pPr>
  </w:style>
  <w:style w:type="paragraph" w:styleId="ListNumber4">
    <w:name w:val="List Number 4"/>
    <w:basedOn w:val="List4"/>
    <w:rsid w:val="00785012"/>
    <w:pPr>
      <w:numPr>
        <w:numId w:val="7"/>
      </w:numPr>
    </w:pPr>
  </w:style>
  <w:style w:type="paragraph" w:styleId="ListNumber5">
    <w:name w:val="List Number 5"/>
    <w:basedOn w:val="List5"/>
    <w:rsid w:val="00785012"/>
    <w:pPr>
      <w:numPr>
        <w:numId w:val="8"/>
      </w:numPr>
    </w:pPr>
  </w:style>
  <w:style w:type="paragraph" w:styleId="BlockText">
    <w:name w:val="Block Text"/>
    <w:basedOn w:val="Normal"/>
    <w:rsid w:val="00785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012"/>
    <w:rPr>
      <w:sz w:val="16"/>
      <w:vertAlign w:val="superscript"/>
    </w:rPr>
  </w:style>
  <w:style w:type="character" w:customStyle="1" w:styleId="Symbols">
    <w:name w:val="Symbols"/>
    <w:basedOn w:val="DefaultParagraphFont"/>
    <w:rsid w:val="00785012"/>
    <w:rPr>
      <w:rFonts w:ascii="Symbol" w:hAnsi="Symbol"/>
    </w:rPr>
  </w:style>
  <w:style w:type="character" w:customStyle="1" w:styleId="MenuOptions">
    <w:name w:val="Menu Options"/>
    <w:basedOn w:val="DefaultParagraphFont"/>
    <w:rsid w:val="00785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012"/>
    <w:rPr>
      <w:b/>
    </w:rPr>
  </w:style>
  <w:style w:type="character" w:customStyle="1" w:styleId="Underlined">
    <w:name w:val="Underlined"/>
    <w:basedOn w:val="DefaultParagraphFont"/>
    <w:rsid w:val="00785012"/>
    <w:rPr>
      <w:u w:val="single"/>
    </w:rPr>
  </w:style>
  <w:style w:type="paragraph" w:customStyle="1" w:styleId="TableBodyTextRight">
    <w:name w:val="Table Body Text Right"/>
    <w:basedOn w:val="TableBodyText"/>
    <w:rsid w:val="00785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012"/>
    <w:rPr>
      <w:sz w:val="18"/>
    </w:rPr>
  </w:style>
  <w:style w:type="paragraph" w:customStyle="1" w:styleId="BodySmallRight">
    <w:name w:val="Body Small Right"/>
    <w:basedOn w:val="BodyTextRight"/>
    <w:rsid w:val="00785012"/>
    <w:rPr>
      <w:sz w:val="18"/>
      <w:szCs w:val="18"/>
    </w:rPr>
  </w:style>
  <w:style w:type="paragraph" w:customStyle="1" w:styleId="MarginEdition">
    <w:name w:val="Margin Edition"/>
    <w:basedOn w:val="MarginNote"/>
    <w:rsid w:val="00785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012"/>
    <w:rPr>
      <w:sz w:val="2"/>
      <w:szCs w:val="2"/>
    </w:rPr>
  </w:style>
  <w:style w:type="character" w:customStyle="1" w:styleId="Small">
    <w:name w:val="Small"/>
    <w:basedOn w:val="DefaultParagraphFont"/>
    <w:rsid w:val="00785012"/>
    <w:rPr>
      <w:sz w:val="16"/>
    </w:rPr>
  </w:style>
  <w:style w:type="paragraph" w:customStyle="1" w:styleId="WideTable">
    <w:name w:val="Wide Table"/>
    <w:basedOn w:val="Normal"/>
    <w:rsid w:val="00785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012"/>
  </w:style>
  <w:style w:type="paragraph" w:styleId="Quote">
    <w:name w:val="Quote"/>
    <w:basedOn w:val="Heading1"/>
    <w:link w:val="QuoteChar"/>
    <w:qFormat/>
    <w:rsid w:val="00785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012"/>
    <w:pPr>
      <w:pageBreakBefore/>
    </w:pPr>
  </w:style>
  <w:style w:type="paragraph" w:customStyle="1" w:styleId="Border">
    <w:name w:val="Border"/>
    <w:basedOn w:val="Normal"/>
    <w:qFormat/>
    <w:rsid w:val="00785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012"/>
    <w:rPr>
      <w:u w:val="single"/>
    </w:rPr>
  </w:style>
  <w:style w:type="character" w:customStyle="1" w:styleId="BoldandItalics">
    <w:name w:val="Bold and Italics"/>
    <w:qFormat/>
    <w:rsid w:val="00785012"/>
    <w:rPr>
      <w:b/>
      <w:i/>
      <w:u w:val="none"/>
    </w:rPr>
  </w:style>
  <w:style w:type="paragraph" w:styleId="BalloonText">
    <w:name w:val="Balloon Text"/>
    <w:basedOn w:val="Normal"/>
    <w:link w:val="BalloonTextChar"/>
    <w:rsid w:val="00785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012"/>
    <w:pPr>
      <w:spacing w:before="0" w:after="0"/>
    </w:pPr>
  </w:style>
  <w:style w:type="paragraph" w:customStyle="1" w:styleId="BodyTextBold">
    <w:name w:val="Body Text Bold"/>
    <w:basedOn w:val="BodyText"/>
    <w:qFormat/>
    <w:rsid w:val="00785012"/>
    <w:rPr>
      <w:b/>
    </w:rPr>
  </w:style>
  <w:style w:type="character" w:styleId="Hyperlink">
    <w:name w:val="Hyperlink"/>
    <w:basedOn w:val="DefaultParagraphFont"/>
    <w:uiPriority w:val="99"/>
    <w:unhideWhenUsed/>
    <w:rsid w:val="00766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3879</Characters>
  <Application>Microsoft Office Word</Application>
  <DocSecurity>0</DocSecurity>
  <Lines>117</Lines>
  <Paragraphs>105</Paragraphs>
  <ScaleCrop>false</ScaleCrop>
  <Company>Author-it Software Corporation Ltd.</Company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HLTANA008 Prepare patients for anaesthesia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