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B83" w:rsidP="00674B83">
      <w:pPr>
        <w:pStyle w:val="Title"/>
      </w:pPr>
      <w:r>
        <w:fldChar w:fldCharType="begin"/>
      </w:r>
      <w:r>
        <w:instrText xml:space="preserve"> TITLE   \* MERGEFORMAT </w:instrText>
      </w:r>
      <w:r>
        <w:fldChar w:fldCharType="separate"/>
      </w:r>
      <w:r>
        <w:t>HLTANA007 Monitor medications in the anaesthetic environment</w:t>
      </w:r>
      <w:r>
        <w:fldChar w:fldCharType="end"/>
      </w:r>
    </w:p>
    <w:p w:rsidR="00674B83" w:rsidP="00674B83">
      <w:pPr>
        <w:pStyle w:val="Version"/>
        <w:sectPr w:rsidSect="001439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90D" w:rsidP="0014390D">
      <w:pPr>
        <w:pStyle w:val="SuperHeading"/>
      </w:pPr>
      <w:r w:rsidRPr="0014390D">
        <w:t>HLTANA007 Monitor medications in the anaesthetic environment</w:t>
      </w:r>
    </w:p>
    <w:p w:rsidR="00000000" w:rsidRPr="0014390D" w:rsidP="0014390D">
      <w:pPr>
        <w:pStyle w:val="Heading1"/>
      </w:pPr>
      <w:bookmarkStart w:id="1" w:name="O_742209"/>
      <w:bookmarkEnd w:id="1"/>
      <w:r w:rsidRPr="0014390D">
        <w:t>Modification History</w:t>
      </w:r>
    </w:p>
    <w:tbl>
      <w:tblPr>
        <w:tblW w:w="0" w:type="auto"/>
        <w:tblLayout w:type="fixed"/>
        <w:tblCellMar>
          <w:left w:w="62" w:type="dxa"/>
          <w:right w:w="62" w:type="dxa"/>
        </w:tblCellMar>
        <w:tblLook w:val="0000"/>
      </w:tblPr>
      <w:tblGrid>
        <w:gridCol w:w="2790"/>
        <w:gridCol w:w="6344"/>
      </w:tblGrid>
      <w:tr w:rsidTr="001439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90D" w:rsidP="0014390D">
            <w:pPr>
              <w:pStyle w:val="BodyText"/>
            </w:pPr>
            <w:r w:rsidRPr="001439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90D">
            <w:pPr>
              <w:pStyle w:val="BodyText"/>
              <w:rPr>
                <w:lang w:val="en-NZ"/>
              </w:rPr>
            </w:pPr>
            <w:r w:rsidRPr="0014390D">
              <w:rPr>
                <w:rStyle w:val="SpecialBold"/>
              </w:rPr>
              <w:t>Comments</w:t>
            </w:r>
          </w:p>
        </w:tc>
      </w:tr>
      <w:tr w:rsidTr="001439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90D">
            <w:pPr>
              <w:pStyle w:val="BodyText"/>
              <w:rPr>
                <w:lang w:val="en-NZ"/>
              </w:rPr>
            </w:pPr>
            <w:r w:rsidRPr="001439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90D" w:rsidP="0014390D">
            <w:pPr>
              <w:pStyle w:val="BodyText"/>
            </w:pPr>
            <w:r w:rsidRPr="0014390D">
              <w:t xml:space="preserve">This version was released in </w:t>
            </w:r>
            <w:r w:rsidRPr="0014390D">
              <w:rPr>
                <w:rStyle w:val="Emphasis"/>
              </w:rPr>
              <w:t>HLT Health Training Package release 2.0</w:t>
            </w:r>
            <w:r w:rsidRPr="0014390D">
              <w:t xml:space="preserve"> and meets the requirements of the 2012 Standards for Training Packages.</w:t>
            </w:r>
          </w:p>
          <w:p w:rsidR="00000000" w:rsidRPr="0014390D" w:rsidP="0014390D">
            <w:pPr>
              <w:pStyle w:val="BodyText"/>
            </w:pPr>
            <w:r w:rsidRPr="0014390D">
              <w:t>Significant changes to the elements and performan</w:t>
            </w:r>
            <w:r w:rsidRPr="0014390D">
              <w:t>ce criteria. New evidence requirements for assessment, including volume and frequency requirements. Significant change to knowledge evidence.</w:t>
            </w:r>
          </w:p>
        </w:tc>
      </w:tr>
    </w:tbl>
    <w:p w:rsidR="00674B83" w:rsidP="0014390D">
      <w:pPr>
        <w:pStyle w:val="BodyText"/>
      </w:pPr>
    </w:p>
    <w:p w:rsidR="00674B83" w:rsidP="0014390D">
      <w:pPr>
        <w:pStyle w:val="BodyText"/>
      </w:pPr>
    </w:p>
    <w:p w:rsidR="00000000" w:rsidRPr="0014390D" w:rsidP="0014390D">
      <w:pPr>
        <w:pStyle w:val="Heading1"/>
      </w:pPr>
      <w:bookmarkStart w:id="2" w:name="O_742210"/>
      <w:bookmarkEnd w:id="2"/>
      <w:r w:rsidRPr="0014390D">
        <w:t>Application</w:t>
      </w:r>
    </w:p>
    <w:p w:rsidR="00000000" w:rsidRPr="0014390D" w:rsidP="00674B83">
      <w:pPr>
        <w:pStyle w:val="BodyText"/>
      </w:pPr>
      <w:r w:rsidRPr="0014390D">
        <w:t>This unit describes the skills and knowledge required to access and prepare medica</w:t>
      </w:r>
      <w:r w:rsidRPr="0014390D">
        <w:t>tions, fluids, blood and blood products prescribed by the anaesthetist, to monitor client responses.</w:t>
      </w:r>
    </w:p>
    <w:p w:rsidR="00000000" w:rsidRPr="0014390D" w:rsidP="00674B83">
      <w:pPr>
        <w:pStyle w:val="BodyText"/>
      </w:pPr>
      <w:r w:rsidRPr="0014390D">
        <w:t>The unit applies to anaesthetic technicians working under the direction of, and in consultation with, an anaesthetist in any hospital or day surgery setti</w:t>
      </w:r>
      <w:r w:rsidRPr="0014390D">
        <w:t xml:space="preserve">ng. </w:t>
      </w:r>
    </w:p>
    <w:p w:rsidR="00000000" w:rsidRPr="00674B83" w:rsidP="00674B83">
      <w:pPr>
        <w:pStyle w:val="BodyText"/>
        <w:rPr>
          <w:i/>
        </w:rPr>
      </w:pPr>
      <w:r w:rsidRPr="00674B83">
        <w:rPr>
          <w:rStyle w:val="Emphasis"/>
        </w:rPr>
        <w:t>The skills in this unit must be applied in accordance with Commonwealth and State/Territory legislation, Australian/New Zealand standards and industry codes of practice.</w:t>
      </w:r>
    </w:p>
    <w:p w:rsidR="00000000" w:rsidRPr="0014390D" w:rsidP="0014390D">
      <w:pPr>
        <w:pStyle w:val="Heading1"/>
      </w:pPr>
      <w:bookmarkStart w:id="3" w:name="O_742214"/>
      <w:bookmarkEnd w:id="3"/>
      <w:r w:rsidRPr="0014390D">
        <w:t>Elements and Performance Criteria</w:t>
      </w:r>
    </w:p>
    <w:tbl>
      <w:tblPr>
        <w:tblW w:w="0" w:type="auto"/>
        <w:tblLayout w:type="fixed"/>
        <w:tblCellMar>
          <w:left w:w="62" w:type="dxa"/>
          <w:right w:w="62" w:type="dxa"/>
        </w:tblCellMar>
        <w:tblLook w:val="0000"/>
      </w:tblPr>
      <w:tblGrid>
        <w:gridCol w:w="3261"/>
        <w:gridCol w:w="5702"/>
      </w:tblGrid>
      <w:tr w:rsidTr="00674B8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t>ELEMENT</w:t>
            </w:r>
          </w:p>
        </w:tc>
        <w:tc>
          <w:tcPr>
            <w:tcW w:w="5702"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t>PERFORMANCE CRITERIA</w:t>
            </w:r>
          </w:p>
        </w:tc>
      </w:tr>
      <w:tr w:rsidTr="00674B8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rPr>
                <w:rStyle w:val="Emphasis"/>
              </w:rPr>
              <w:t>Performance criteria describe the performance needed to demonstrate achievement of the element</w:t>
            </w: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t xml:space="preserve">1. Access medications </w:t>
            </w:r>
          </w:p>
        </w:tc>
        <w:tc>
          <w:tcPr>
            <w:tcW w:w="5702"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t xml:space="preserve">1.1 Access medications when directed by anaesthetist or other health professional </w:t>
            </w:r>
          </w:p>
          <w:p w:rsidR="00000000" w:rsidRPr="0014390D" w:rsidP="0014390D">
            <w:pPr>
              <w:pStyle w:val="BodyText"/>
            </w:pPr>
            <w:r w:rsidRPr="0014390D">
              <w:t>1.2 Follow leg</w:t>
            </w:r>
            <w:r w:rsidRPr="0014390D">
              <w:t xml:space="preserve">al and organisation procedures to obtain drugs </w:t>
            </w:r>
          </w:p>
          <w:p w:rsidR="00000000" w:rsidP="0014390D">
            <w:pPr>
              <w:pStyle w:val="BodyText"/>
              <w:rPr>
                <w:lang w:val="en-NZ"/>
              </w:rPr>
            </w:pPr>
            <w:r w:rsidRPr="0014390D">
              <w:t>1.3 Identify indication of medication</w:t>
            </w: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t>2. Prepare medications for administration</w:t>
            </w:r>
          </w:p>
        </w:tc>
        <w:tc>
          <w:tcPr>
            <w:tcW w:w="5702"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t xml:space="preserve">2.1 Read client records for information that may impact medication administration </w:t>
            </w:r>
          </w:p>
          <w:p w:rsidR="00000000" w:rsidRPr="0014390D" w:rsidP="0014390D">
            <w:pPr>
              <w:pStyle w:val="BodyText"/>
            </w:pPr>
            <w:r w:rsidRPr="0014390D">
              <w:t>2.2 Communicate details from client records to anaesthetist or health professional</w:t>
            </w:r>
          </w:p>
          <w:p w:rsidR="00000000" w:rsidRPr="0014390D" w:rsidP="0014390D">
            <w:pPr>
              <w:pStyle w:val="BodyText"/>
            </w:pPr>
            <w:r w:rsidRPr="0014390D">
              <w:t>2.3 Accurately measure, calculate and confirm medication dosages as directed by health professional and in accordance with requirements for specific medications</w:t>
            </w:r>
          </w:p>
          <w:p w:rsidR="00000000" w:rsidRPr="0014390D" w:rsidP="0014390D">
            <w:pPr>
              <w:pStyle w:val="BodyText"/>
            </w:pPr>
            <w:r w:rsidRPr="0014390D">
              <w:t>2.4 Aseptica</w:t>
            </w:r>
            <w:r w:rsidRPr="0014390D">
              <w:t xml:space="preserve">lly prepare and correctly label intravenous drugs </w:t>
            </w:r>
          </w:p>
          <w:p w:rsidR="00000000" w:rsidRPr="0014390D" w:rsidP="0014390D">
            <w:pPr>
              <w:pStyle w:val="BodyText"/>
            </w:pPr>
            <w:r w:rsidRPr="0014390D">
              <w:t>2.5 Program infusion device and confirm program with second authorised person</w:t>
            </w:r>
          </w:p>
          <w:p w:rsidR="00000000" w:rsidP="0014390D">
            <w:pPr>
              <w:pStyle w:val="BodyText"/>
              <w:rPr>
                <w:lang w:val="en-NZ"/>
              </w:rPr>
            </w:pPr>
            <w:r w:rsidRPr="0014390D">
              <w:t>2.6 Safely dispose of waste and sharps</w:t>
            </w: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t xml:space="preserve">3. Monitor and record client responses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t>3.1 Identify adverse client responses and r</w:t>
            </w:r>
            <w:r w:rsidRPr="0014390D">
              <w:t xml:space="preserve">eport to anaesthetist </w:t>
            </w:r>
          </w:p>
          <w:p w:rsidR="00000000" w:rsidRPr="0014390D" w:rsidP="0014390D">
            <w:pPr>
              <w:pStyle w:val="BodyText"/>
            </w:pPr>
            <w:r w:rsidRPr="0014390D">
              <w:t>3.2 Recognise and respond to acute and delayed adverse reactions to drugs within role of responsibility</w:t>
            </w:r>
          </w:p>
          <w:p w:rsidR="00000000" w:rsidP="0014390D">
            <w:pPr>
              <w:pStyle w:val="BodyText"/>
              <w:rPr>
                <w:lang w:val="en-NZ"/>
              </w:rPr>
            </w:pPr>
            <w:r w:rsidRPr="0014390D">
              <w:t xml:space="preserve">3.3 Accurately record responses </w:t>
            </w: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t>4. Store medications</w:t>
            </w:r>
          </w:p>
        </w:tc>
        <w:tc>
          <w:tcPr>
            <w:tcW w:w="5702"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t>4.1 Secure, restock and store medications according to law and health c</w:t>
            </w:r>
            <w:r w:rsidRPr="0014390D">
              <w:t>are environmental policy</w:t>
            </w:r>
          </w:p>
          <w:p w:rsidR="00000000" w:rsidRPr="0014390D" w:rsidP="0014390D">
            <w:pPr>
              <w:pStyle w:val="BodyText"/>
            </w:pPr>
            <w:r w:rsidRPr="0014390D">
              <w:t xml:space="preserve">4.2 Identify and dispose of date expired medications </w:t>
            </w:r>
          </w:p>
          <w:p w:rsidR="00000000" w:rsidP="0014390D">
            <w:pPr>
              <w:pStyle w:val="BodyText"/>
              <w:rPr>
                <w:lang w:val="en-NZ"/>
              </w:rPr>
            </w:pPr>
            <w:r w:rsidRPr="0014390D">
              <w:t>4.3 Complete accurate drug documentation</w:t>
            </w:r>
          </w:p>
        </w:tc>
      </w:tr>
      <w:tr w:rsidTr="00674B8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t>5. Prepare for and administer intravascular fluid, blood or blood products</w:t>
            </w:r>
          </w:p>
        </w:tc>
        <w:tc>
          <w:tcPr>
            <w:tcW w:w="5702"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t xml:space="preserve">5.1 Access and select intravascular solution, blood or blood product according to prescription </w:t>
            </w:r>
          </w:p>
          <w:p w:rsidR="00000000" w:rsidRPr="0014390D" w:rsidP="0014390D">
            <w:pPr>
              <w:pStyle w:val="BodyText"/>
            </w:pPr>
            <w:r w:rsidRPr="0014390D">
              <w:t xml:space="preserve">5.2 Confirm selected solution is fit for use </w:t>
            </w:r>
          </w:p>
          <w:p w:rsidR="00000000" w:rsidRPr="0014390D" w:rsidP="0014390D">
            <w:pPr>
              <w:pStyle w:val="BodyText"/>
            </w:pPr>
            <w:r w:rsidRPr="0014390D">
              <w:t>5.3 Select infusion set, connectors and/or filters</w:t>
            </w:r>
          </w:p>
          <w:p w:rsidR="00000000" w:rsidRPr="0014390D" w:rsidP="0014390D">
            <w:pPr>
              <w:pStyle w:val="BodyText"/>
            </w:pPr>
            <w:r w:rsidRPr="0014390D">
              <w:t>5.4 Assemble equipment and materials and prime in an aseptic ma</w:t>
            </w:r>
            <w:r w:rsidRPr="0014390D">
              <w:t xml:space="preserve">nner ready for use </w:t>
            </w:r>
          </w:p>
          <w:p w:rsidR="00000000" w:rsidRPr="0014390D" w:rsidP="0014390D">
            <w:pPr>
              <w:pStyle w:val="BodyText"/>
            </w:pPr>
            <w:r w:rsidRPr="0014390D">
              <w:t>5.5 Program equipment according to prescription and confirm client identity with another authorised person</w:t>
            </w:r>
          </w:p>
          <w:p w:rsidR="00000000" w:rsidRPr="0014390D" w:rsidP="0014390D">
            <w:pPr>
              <w:pStyle w:val="BodyText"/>
            </w:pPr>
            <w:r w:rsidRPr="0014390D">
              <w:t xml:space="preserve">5.6 Administer and monitor infusion and infusion site </w:t>
            </w:r>
          </w:p>
          <w:p w:rsidR="00000000" w:rsidRPr="0014390D" w:rsidP="0014390D">
            <w:pPr>
              <w:pStyle w:val="BodyText"/>
            </w:pPr>
            <w:r w:rsidRPr="0014390D">
              <w:t xml:space="preserve">5.7 Store infusion equipment and solutions correctly </w:t>
            </w:r>
          </w:p>
        </w:tc>
      </w:tr>
    </w:tbl>
    <w:p w:rsidR="00000000" w:rsidRPr="0014390D" w:rsidP="0014390D">
      <w:pPr>
        <w:pStyle w:val="BodyText"/>
      </w:pPr>
    </w:p>
    <w:p w:rsidR="00000000" w:rsidRPr="0014390D" w:rsidP="0014390D">
      <w:pPr>
        <w:pStyle w:val="AllowPageBreak"/>
      </w:pPr>
    </w:p>
    <w:p w:rsidR="00000000" w:rsidRPr="0014390D" w:rsidP="0014390D">
      <w:pPr>
        <w:pStyle w:val="Heading1"/>
      </w:pPr>
      <w:bookmarkStart w:id="4" w:name="O_742215"/>
      <w:bookmarkEnd w:id="4"/>
      <w:r w:rsidRPr="0014390D">
        <w:t>F</w:t>
      </w:r>
      <w:r w:rsidRPr="0014390D">
        <w:t>oundation Skills</w:t>
      </w:r>
    </w:p>
    <w:tbl>
      <w:tblPr>
        <w:tblW w:w="0" w:type="auto"/>
        <w:tblLayout w:type="fixed"/>
        <w:tblCellMar>
          <w:left w:w="62" w:type="dxa"/>
          <w:right w:w="62" w:type="dxa"/>
        </w:tblCellMar>
        <w:tblLook w:val="0000"/>
      </w:tblPr>
      <w:tblGrid>
        <w:gridCol w:w="9181"/>
      </w:tblGrid>
      <w:tr w:rsidTr="0014390D">
        <w:tblPrEx>
          <w:tblW w:w="0" w:type="auto"/>
          <w:tblLayout w:type="fixed"/>
          <w:tblCellMar>
            <w:left w:w="62" w:type="dxa"/>
            <w:right w:w="62" w:type="dxa"/>
          </w:tblCellMar>
          <w:tblLook w:val="0000"/>
        </w:tblPrEx>
        <w:tc>
          <w:tcPr>
            <w:tcW w:w="9181"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r w:rsidRPr="0014390D">
              <w:rPr>
                <w:rStyle w:val="Emphasis"/>
              </w:rPr>
              <w:t xml:space="preserve">The Foundation Skills describe those required skills (language, literacy, numeracy and employment </w:t>
            </w:r>
            <w:r w:rsidRPr="0014390D">
              <w:t xml:space="preserve">skills) that are essential </w:t>
            </w:r>
            <w:r w:rsidRPr="0014390D">
              <w:rPr>
                <w:rStyle w:val="Emphasis"/>
              </w:rPr>
              <w:t>to performance.</w:t>
            </w:r>
          </w:p>
        </w:tc>
      </w:tr>
      <w:tr w:rsidTr="0014390D">
        <w:tblPrEx>
          <w:tblW w:w="0" w:type="auto"/>
          <w:tblLayout w:type="fixed"/>
          <w:tblCellMar>
            <w:left w:w="62" w:type="dxa"/>
            <w:right w:w="62" w:type="dxa"/>
          </w:tblCellMar>
          <w:tblLook w:val="0000"/>
        </w:tblPrEx>
        <w:tc>
          <w:tcPr>
            <w:tcW w:w="9181" w:type="dxa"/>
            <w:tcBorders>
              <w:top w:val="nil"/>
              <w:left w:val="nil"/>
              <w:bottom w:val="nil"/>
              <w:right w:val="nil"/>
            </w:tcBorders>
            <w:tcMar>
              <w:top w:w="0" w:type="dxa"/>
              <w:left w:w="62" w:type="dxa"/>
              <w:bottom w:w="0" w:type="dxa"/>
              <w:right w:w="62" w:type="dxa"/>
            </w:tcMar>
          </w:tcPr>
          <w:p w:rsidR="00000000" w:rsidP="0014390D">
            <w:pPr>
              <w:pStyle w:val="BodyText"/>
              <w:rPr>
                <w:lang w:val="en-NZ"/>
              </w:rPr>
            </w:pPr>
          </w:p>
        </w:tc>
      </w:tr>
      <w:tr w:rsidTr="0014390D">
        <w:tblPrEx>
          <w:tblW w:w="0" w:type="auto"/>
          <w:tblLayout w:type="fixed"/>
          <w:tblCellMar>
            <w:left w:w="62" w:type="dxa"/>
            <w:right w:w="62" w:type="dxa"/>
          </w:tblCellMar>
          <w:tblLook w:val="0000"/>
        </w:tblPrEx>
        <w:tc>
          <w:tcPr>
            <w:tcW w:w="9181" w:type="dxa"/>
            <w:tcBorders>
              <w:top w:val="nil"/>
              <w:left w:val="nil"/>
              <w:bottom w:val="nil"/>
              <w:right w:val="nil"/>
            </w:tcBorders>
            <w:tcMar>
              <w:top w:w="0" w:type="dxa"/>
              <w:left w:w="62" w:type="dxa"/>
              <w:bottom w:w="0" w:type="dxa"/>
              <w:right w:w="62" w:type="dxa"/>
            </w:tcMar>
          </w:tcPr>
          <w:p w:rsidR="00000000" w:rsidRPr="0014390D" w:rsidP="0014390D">
            <w:pPr>
              <w:pStyle w:val="BodyText"/>
            </w:pPr>
            <w:r w:rsidRPr="0014390D">
              <w:t>Foundation skills essential to performance are explicit in the performance criteria of this unit of competency.</w:t>
            </w:r>
          </w:p>
        </w:tc>
      </w:tr>
    </w:tbl>
    <w:p w:rsidR="00674B83" w:rsidP="0014390D">
      <w:pPr>
        <w:pStyle w:val="BodyText"/>
      </w:pPr>
    </w:p>
    <w:p w:rsidR="00674B83" w:rsidP="0014390D">
      <w:pPr>
        <w:pStyle w:val="BodyText"/>
      </w:pPr>
    </w:p>
    <w:p w:rsidR="00000000" w:rsidRPr="0014390D" w:rsidP="0014390D">
      <w:pPr>
        <w:pStyle w:val="Heading1"/>
      </w:pPr>
      <w:bookmarkStart w:id="5" w:name="O_742217"/>
      <w:bookmarkEnd w:id="5"/>
      <w:r w:rsidRPr="0014390D">
        <w:t>Unit Mapping Information</w:t>
      </w:r>
    </w:p>
    <w:p w:rsidR="00000000" w:rsidRPr="0014390D" w:rsidP="00674B83">
      <w:pPr>
        <w:pStyle w:val="BodyText"/>
      </w:pPr>
      <w:r w:rsidRPr="0014390D">
        <w:t xml:space="preserve">No equivalent unit. </w:t>
      </w:r>
    </w:p>
    <w:p w:rsidR="00000000" w:rsidRPr="0014390D" w:rsidP="0014390D">
      <w:pPr>
        <w:pStyle w:val="Heading1"/>
      </w:pPr>
      <w:bookmarkStart w:id="6" w:name="O_742224"/>
      <w:bookmarkEnd w:id="6"/>
      <w:r w:rsidRPr="0014390D">
        <w:t>Links</w:t>
      </w:r>
    </w:p>
    <w:p w:rsidR="00000000" w:rsidRPr="0014390D" w:rsidP="00674B83">
      <w:pPr>
        <w:pStyle w:val="BodyText"/>
      </w:pPr>
      <w:r w:rsidRPr="0014390D">
        <w:t>Companion Volume implementation guides are found in VET</w:t>
      </w:r>
      <w:r w:rsidRPr="0014390D">
        <w:t xml:space="preserve">Net - </w:t>
      </w:r>
      <w:r>
        <w:fldChar w:fldCharType="begin"/>
      </w:r>
      <w:r>
        <w:instrText xml:space="preserve"> HYPERLINK "https://vetnet.gov.au/Pages/TrainingDocs.aspx?q=ced1390f-48d9-4ab0-bd50-b015e5485705" </w:instrText>
      </w:r>
      <w:r>
        <w:fldChar w:fldCharType="separate"/>
      </w:r>
      <w:r w:rsidRPr="00B1215E">
        <w:rPr>
          <w:rStyle w:val="Hyperlink"/>
        </w:rPr>
        <w:t>https://vetnet.gov.au/Pages/TrainingDocs.aspx?q=ced1390f-48d9-4ab0-bd50-b015e5485705</w:t>
      </w:r>
      <w:r>
        <w:fldChar w:fldCharType="end"/>
      </w:r>
    </w:p>
    <w:p w:rsidR="00000000" w:rsidRPr="0014390D" w:rsidP="00674B83">
      <w:pPr>
        <w:pStyle w:val="BodyText"/>
        <w:sectPr w:rsidSect="0014390D">
          <w:headerReference w:type="default" r:id="rId10"/>
          <w:footerReference w:type="default" r:id="rId11"/>
          <w:pgSz w:w="11908" w:h="16833"/>
          <w:pgMar w:top="1702" w:right="1418" w:bottom="1702" w:left="1418" w:header="992" w:footer="992" w:gutter="0"/>
          <w:cols w:space="720"/>
          <w:noEndnote/>
          <w:docGrid w:linePitch="299"/>
        </w:sectPr>
      </w:pPr>
    </w:p>
    <w:p w:rsidR="00000000" w:rsidRPr="0014390D" w:rsidP="0014390D">
      <w:pPr>
        <w:pStyle w:val="SuperHeading"/>
      </w:pPr>
      <w:r w:rsidRPr="0014390D">
        <w:t>Assessment Requirements for HLTANA007 Monitor medications in the anaesthetic environment</w:t>
      </w:r>
    </w:p>
    <w:p w:rsidR="00000000" w:rsidRPr="0014390D" w:rsidP="0014390D">
      <w:pPr>
        <w:pStyle w:val="Heading1"/>
      </w:pPr>
      <w:bookmarkStart w:id="7" w:name="O_742219"/>
      <w:bookmarkEnd w:id="7"/>
      <w:r w:rsidRPr="0014390D">
        <w:t xml:space="preserve">Modification </w:t>
      </w:r>
      <w:r w:rsidRPr="0014390D">
        <w:t>History</w:t>
      </w:r>
    </w:p>
    <w:tbl>
      <w:tblPr>
        <w:tblW w:w="0" w:type="auto"/>
        <w:tblLayout w:type="fixed"/>
        <w:tblCellMar>
          <w:left w:w="62" w:type="dxa"/>
          <w:right w:w="62" w:type="dxa"/>
        </w:tblCellMar>
        <w:tblLook w:val="0000"/>
      </w:tblPr>
      <w:tblGrid>
        <w:gridCol w:w="2790"/>
        <w:gridCol w:w="6344"/>
      </w:tblGrid>
      <w:tr w:rsidTr="001439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90D" w:rsidP="0014390D">
            <w:pPr>
              <w:pStyle w:val="BodyText"/>
            </w:pPr>
            <w:r w:rsidRPr="0014390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90D">
            <w:pPr>
              <w:pStyle w:val="BodyText"/>
              <w:rPr>
                <w:lang w:val="en-NZ"/>
              </w:rPr>
            </w:pPr>
            <w:r w:rsidRPr="0014390D">
              <w:rPr>
                <w:rStyle w:val="SpecialBold"/>
              </w:rPr>
              <w:t>Comments</w:t>
            </w:r>
          </w:p>
        </w:tc>
      </w:tr>
      <w:tr w:rsidTr="0014390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390D">
            <w:pPr>
              <w:pStyle w:val="BodyText"/>
              <w:rPr>
                <w:lang w:val="en-NZ"/>
              </w:rPr>
            </w:pPr>
            <w:r w:rsidRPr="0014390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390D" w:rsidP="0014390D">
            <w:pPr>
              <w:pStyle w:val="BodyText"/>
            </w:pPr>
            <w:r w:rsidRPr="0014390D">
              <w:t xml:space="preserve">This version was released in </w:t>
            </w:r>
            <w:r w:rsidRPr="0014390D">
              <w:rPr>
                <w:rStyle w:val="Emphasis"/>
              </w:rPr>
              <w:t>HLT Health Training Package release 2.0</w:t>
            </w:r>
            <w:r w:rsidRPr="0014390D">
              <w:t xml:space="preserve"> and meets the requirements of the 2012 Standards for Training Packages.</w:t>
            </w:r>
          </w:p>
          <w:p w:rsidR="00000000" w:rsidRPr="0014390D" w:rsidP="0014390D">
            <w:pPr>
              <w:pStyle w:val="BodyText"/>
            </w:pPr>
            <w:r w:rsidRPr="0014390D">
              <w:t>Significant changes to the elements and performance criteria. New evidence requirements for assessment, including volume and frequency requirements. Significant change to knowledge evidence.</w:t>
            </w:r>
          </w:p>
        </w:tc>
      </w:tr>
    </w:tbl>
    <w:p w:rsidR="00674B83" w:rsidP="0014390D">
      <w:pPr>
        <w:pStyle w:val="BodyText"/>
      </w:pPr>
    </w:p>
    <w:p w:rsidR="00674B83" w:rsidP="0014390D">
      <w:pPr>
        <w:pStyle w:val="BodyText"/>
      </w:pPr>
    </w:p>
    <w:p w:rsidR="00000000" w:rsidRPr="0014390D" w:rsidP="0014390D">
      <w:pPr>
        <w:pStyle w:val="Heading1"/>
      </w:pPr>
      <w:bookmarkStart w:id="8" w:name="O_742220"/>
      <w:bookmarkEnd w:id="8"/>
      <w:r w:rsidRPr="0014390D">
        <w:t>Performance Evidence</w:t>
      </w:r>
    </w:p>
    <w:p w:rsidR="00000000" w:rsidRPr="0014390D" w:rsidP="00674B83">
      <w:pPr>
        <w:pStyle w:val="BodyText"/>
      </w:pPr>
      <w:r w:rsidRPr="0014390D">
        <w:t>The candidate must show evidence of the ability to complete tasks outlined in elements and performance criteria of this unit, manage tasks and manage contingencies in the context of the job role. There must be evidence that the candidate has:</w:t>
      </w:r>
    </w:p>
    <w:p w:rsidR="00000000" w:rsidRPr="0014390D" w:rsidP="0014390D">
      <w:pPr>
        <w:pStyle w:val="ListBullet"/>
      </w:pPr>
      <w:r w:rsidRPr="0014390D">
        <w:t>accessed, pr</w:t>
      </w:r>
      <w:r w:rsidRPr="0014390D">
        <w:t>epared and monitored medications, fluids, blood and blood products in accordance with legislation and the organisation’s medication and delegation policies and practice under the supervision of a health professional on at least 10 different occasions</w:t>
      </w:r>
    </w:p>
    <w:p w:rsidR="00000000" w:rsidRPr="0014390D" w:rsidP="0014390D">
      <w:pPr>
        <w:pStyle w:val="ListBullet"/>
      </w:pPr>
      <w:r w:rsidRPr="0014390D">
        <w:t>admin</w:t>
      </w:r>
      <w:r w:rsidRPr="0014390D">
        <w:t>istered crystalloids, colloids, blood &amp; blood products</w:t>
      </w:r>
    </w:p>
    <w:p w:rsidR="00000000" w:rsidRPr="0014390D" w:rsidP="0014390D">
      <w:pPr>
        <w:pStyle w:val="ListBullet"/>
      </w:pPr>
      <w:r w:rsidRPr="0014390D">
        <w:t>programmed infusion devices at least twice</w:t>
      </w:r>
    </w:p>
    <w:p w:rsidR="00000000" w:rsidRPr="0014390D" w:rsidP="0014390D">
      <w:pPr>
        <w:pStyle w:val="ListBullet"/>
      </w:pPr>
      <w:r w:rsidRPr="0014390D">
        <w:t>set up rapid infusion device at least twice</w:t>
      </w:r>
    </w:p>
    <w:p w:rsidR="00000000" w:rsidRPr="0014390D" w:rsidP="0014390D">
      <w:pPr>
        <w:pStyle w:val="ListBullet"/>
      </w:pPr>
      <w:r w:rsidRPr="0014390D">
        <w:t>prepared drugs for administration via each of the following routes at least twice:</w:t>
      </w:r>
    </w:p>
    <w:p w:rsidR="00000000" w:rsidRPr="0014390D" w:rsidP="0014390D">
      <w:pPr>
        <w:pStyle w:val="ListBullet2"/>
      </w:pPr>
      <w:r w:rsidRPr="0014390D">
        <w:t xml:space="preserve">inhalational </w:t>
      </w:r>
    </w:p>
    <w:p w:rsidR="00000000" w:rsidRPr="0014390D" w:rsidP="0014390D">
      <w:pPr>
        <w:pStyle w:val="ListBullet2"/>
      </w:pPr>
      <w:r w:rsidRPr="0014390D">
        <w:t xml:space="preserve">intravenous </w:t>
      </w:r>
    </w:p>
    <w:p w:rsidR="00000000" w:rsidRPr="0014390D" w:rsidP="0014390D">
      <w:pPr>
        <w:pStyle w:val="ListBullet2"/>
      </w:pPr>
      <w:r w:rsidRPr="0014390D">
        <w:t>intramuscular</w:t>
      </w:r>
    </w:p>
    <w:p w:rsidR="00000000" w:rsidRPr="0014390D" w:rsidP="0014390D">
      <w:pPr>
        <w:pStyle w:val="ListBullet2"/>
      </w:pPr>
      <w:r w:rsidRPr="0014390D">
        <w:t>oral</w:t>
      </w:r>
    </w:p>
    <w:p w:rsidR="00000000" w:rsidRPr="0014390D" w:rsidP="0014390D">
      <w:pPr>
        <w:pStyle w:val="ListBullet2"/>
      </w:pPr>
      <w:r w:rsidRPr="0014390D">
        <w:t>subcutaneous</w:t>
      </w:r>
    </w:p>
    <w:p w:rsidR="00000000" w:rsidRPr="0014390D" w:rsidP="0014390D">
      <w:pPr>
        <w:pStyle w:val="ListBullet2"/>
      </w:pPr>
      <w:r w:rsidRPr="0014390D">
        <w:t>topical</w:t>
      </w:r>
    </w:p>
    <w:p w:rsidR="00000000" w:rsidRPr="0014390D" w:rsidP="0014390D">
      <w:pPr>
        <w:pStyle w:val="AllowPageBreak"/>
      </w:pPr>
    </w:p>
    <w:p w:rsidR="00000000" w:rsidRPr="0014390D" w:rsidP="0014390D">
      <w:pPr>
        <w:pStyle w:val="Heading1"/>
      </w:pPr>
      <w:bookmarkStart w:id="9" w:name="O_742221"/>
      <w:bookmarkEnd w:id="9"/>
      <w:r w:rsidRPr="0014390D">
        <w:t>Knowledge Evidence</w:t>
      </w:r>
    </w:p>
    <w:p w:rsidR="00000000" w:rsidRPr="0014390D" w:rsidP="00674B83">
      <w:pPr>
        <w:pStyle w:val="BodyText"/>
      </w:pPr>
      <w:r w:rsidRPr="0014390D">
        <w:t>The candidate must be able to demonstrate essential knowledge required to effectively complete tasks outlined in elements and performance criteria of this unit, manage tasks and ma</w:t>
      </w:r>
      <w:r w:rsidRPr="0014390D">
        <w:t>nage contingencies in the context of the work role. This includes knowledge of:</w:t>
      </w:r>
    </w:p>
    <w:p w:rsidR="00000000" w:rsidRPr="0014390D" w:rsidP="0014390D">
      <w:pPr>
        <w:pStyle w:val="ListBullet"/>
      </w:pPr>
      <w:r w:rsidRPr="0014390D">
        <w:t>legal and ethical considerations (national, state/territory) for the handling and administration of medications, and how these are applied in organisations:</w:t>
      </w:r>
    </w:p>
    <w:p w:rsidR="00000000" w:rsidRPr="0014390D" w:rsidP="0014390D">
      <w:pPr>
        <w:pStyle w:val="ListBullet2"/>
      </w:pPr>
      <w:r w:rsidRPr="0014390D">
        <w:t>approved drug and</w:t>
      </w:r>
      <w:r w:rsidRPr="0014390D">
        <w:t xml:space="preserve"> fluid abbreviations</w:t>
      </w:r>
    </w:p>
    <w:p w:rsidR="00000000" w:rsidRPr="0014390D" w:rsidP="0014390D">
      <w:pPr>
        <w:pStyle w:val="ListBullet2"/>
      </w:pPr>
      <w:r w:rsidRPr="0014390D">
        <w:t>Australian and New Zealand scheduling for drugs and poisons</w:t>
      </w:r>
    </w:p>
    <w:p w:rsidR="00000000" w:rsidRPr="0014390D" w:rsidP="0014390D">
      <w:pPr>
        <w:pStyle w:val="ListBullet2"/>
      </w:pPr>
      <w:r w:rsidRPr="0014390D">
        <w:t>Australian and New Zealand Society of Blood Transfusion guidelines (ANZSBT)</w:t>
      </w:r>
    </w:p>
    <w:p w:rsidR="00000000" w:rsidRPr="0014390D" w:rsidP="0014390D">
      <w:pPr>
        <w:pStyle w:val="ListBullet2"/>
      </w:pPr>
      <w:r w:rsidRPr="0014390D">
        <w:t>codes of practice</w:t>
      </w:r>
    </w:p>
    <w:p w:rsidR="00000000" w:rsidRPr="0014390D" w:rsidP="0014390D">
      <w:pPr>
        <w:pStyle w:val="ListBullet2"/>
      </w:pPr>
      <w:r w:rsidRPr="0014390D">
        <w:t>records management requirements</w:t>
      </w:r>
    </w:p>
    <w:p w:rsidR="00000000" w:rsidRPr="0014390D" w:rsidP="0014390D">
      <w:pPr>
        <w:pStyle w:val="ListBullet2"/>
      </w:pPr>
      <w:r w:rsidRPr="0014390D">
        <w:t>storage</w:t>
      </w:r>
    </w:p>
    <w:p w:rsidR="00000000" w:rsidRPr="0014390D" w:rsidP="0014390D">
      <w:pPr>
        <w:pStyle w:val="ListBullet2"/>
      </w:pPr>
      <w:r w:rsidRPr="0014390D">
        <w:t>work role boundaries –</w:t>
      </w:r>
      <w:r w:rsidRPr="0014390D">
        <w:t xml:space="preserve"> responsibilities and limitations</w:t>
      </w:r>
    </w:p>
    <w:p w:rsidR="00000000" w:rsidRPr="0014390D" w:rsidP="0014390D">
      <w:pPr>
        <w:pStyle w:val="ListBullet2"/>
      </w:pPr>
      <w:r w:rsidRPr="0014390D">
        <w:t>rights and responsibilities of workers, employers and clients</w:t>
      </w:r>
    </w:p>
    <w:p w:rsidR="00000000" w:rsidRPr="0014390D" w:rsidP="0014390D">
      <w:pPr>
        <w:pStyle w:val="ListBullet2"/>
      </w:pPr>
      <w:r w:rsidRPr="0014390D">
        <w:t>work health and safety (WHS)</w:t>
      </w:r>
    </w:p>
    <w:p w:rsidR="00000000" w:rsidRPr="0014390D" w:rsidP="0014390D">
      <w:pPr>
        <w:pStyle w:val="ListBullet"/>
      </w:pPr>
      <w:r w:rsidRPr="0014390D">
        <w:t>pharmacology for drugs commonly used in anaesthesia, including:</w:t>
      </w:r>
    </w:p>
    <w:p w:rsidR="00000000" w:rsidRPr="0014390D" w:rsidP="0014390D">
      <w:pPr>
        <w:pStyle w:val="ListBullet2"/>
      </w:pPr>
      <w:r w:rsidRPr="0014390D">
        <w:t>sources of drugs (natural/endorphins/synthetic)</w:t>
      </w:r>
    </w:p>
    <w:p w:rsidR="00000000" w:rsidRPr="0014390D" w:rsidP="0014390D">
      <w:pPr>
        <w:pStyle w:val="ListBullet2"/>
      </w:pPr>
      <w:r w:rsidRPr="0014390D">
        <w:t>drug nomenclature</w:t>
      </w:r>
      <w:r w:rsidRPr="0014390D">
        <w:t xml:space="preserve"> (chemical/generic/brand names)</w:t>
      </w:r>
    </w:p>
    <w:p w:rsidR="00000000" w:rsidRPr="0014390D" w:rsidP="0014390D">
      <w:pPr>
        <w:pStyle w:val="ListBullet2"/>
      </w:pPr>
      <w:r w:rsidRPr="0014390D">
        <w:t>drug classifications</w:t>
      </w:r>
    </w:p>
    <w:p w:rsidR="00000000" w:rsidRPr="0014390D" w:rsidP="0014390D">
      <w:pPr>
        <w:pStyle w:val="ListBullet2"/>
      </w:pPr>
      <w:r w:rsidRPr="0014390D">
        <w:t>common abbreviations</w:t>
      </w:r>
    </w:p>
    <w:p w:rsidR="00000000" w:rsidRPr="0014390D" w:rsidP="0014390D">
      <w:pPr>
        <w:pStyle w:val="ListBullet2"/>
      </w:pPr>
      <w:r w:rsidRPr="0014390D">
        <w:t>pharmacodynamics - drug receptor interactions/dose-response relationships/therapeutic index</w:t>
      </w:r>
    </w:p>
    <w:p w:rsidR="00000000" w:rsidRPr="0014390D" w:rsidP="0014390D">
      <w:pPr>
        <w:pStyle w:val="ListBullet2"/>
      </w:pPr>
      <w:r w:rsidRPr="0014390D">
        <w:t>pharmacokinetics (ADME) absorption/distribution/metabolism/excretion</w:t>
      </w:r>
    </w:p>
    <w:p w:rsidR="00000000" w:rsidRPr="0014390D" w:rsidP="0014390D">
      <w:pPr>
        <w:pStyle w:val="ListBullet2"/>
      </w:pPr>
      <w:r w:rsidRPr="0014390D">
        <w:t>pharmacotherapeutics</w:t>
      </w:r>
    </w:p>
    <w:p w:rsidR="00000000" w:rsidRPr="0014390D" w:rsidP="0014390D">
      <w:pPr>
        <w:pStyle w:val="ListBullet2"/>
      </w:pPr>
      <w:r w:rsidRPr="0014390D">
        <w:t>adverse drug reactions and interactions</w:t>
      </w:r>
    </w:p>
    <w:p w:rsidR="00000000" w:rsidRPr="0014390D" w:rsidP="0014390D">
      <w:pPr>
        <w:pStyle w:val="ListBullet2"/>
      </w:pPr>
      <w:r w:rsidRPr="0014390D">
        <w:t xml:space="preserve">toxicity/toxicology </w:t>
      </w:r>
    </w:p>
    <w:p w:rsidR="00000000" w:rsidRPr="0014390D" w:rsidP="0014390D">
      <w:pPr>
        <w:pStyle w:val="ListBullet"/>
      </w:pPr>
      <w:r w:rsidRPr="0014390D">
        <w:t>drug administration routes:</w:t>
      </w:r>
    </w:p>
    <w:p w:rsidR="00000000" w:rsidRPr="0014390D" w:rsidP="0014390D">
      <w:pPr>
        <w:pStyle w:val="ListBullet2"/>
      </w:pPr>
      <w:r w:rsidRPr="0014390D">
        <w:t>enteral medication – endotracheal, sublingual, buccal, rectal, vaginal, urethral</w:t>
      </w:r>
    </w:p>
    <w:p w:rsidR="00000000" w:rsidRPr="0014390D" w:rsidP="0014390D">
      <w:pPr>
        <w:pStyle w:val="ListBullet2"/>
      </w:pPr>
      <w:r w:rsidRPr="0014390D">
        <w:t>parenteral medication - intravenous, intramuscular, intraosseous, intracardiac, intr</w:t>
      </w:r>
      <w:r w:rsidRPr="0014390D">
        <w:t>aarticular, intrauterine, intrathecal, subcutaneous, intra-arterial, inhalational</w:t>
      </w:r>
    </w:p>
    <w:p w:rsidR="00000000" w:rsidRPr="0014390D" w:rsidP="0014390D">
      <w:pPr>
        <w:pStyle w:val="ListBullet2"/>
      </w:pPr>
      <w:r w:rsidRPr="0014390D">
        <w:t>topical medication - subcutaneous, transnasal, transdermal, ocular, inhalational, aural</w:t>
      </w:r>
    </w:p>
    <w:p w:rsidR="00000000" w:rsidRPr="0014390D" w:rsidP="0014390D">
      <w:pPr>
        <w:pStyle w:val="ListBullet"/>
      </w:pPr>
      <w:r w:rsidRPr="0014390D">
        <w:t>formulations, including</w:t>
      </w:r>
    </w:p>
    <w:p w:rsidR="00000000" w:rsidRPr="0014390D" w:rsidP="0014390D">
      <w:pPr>
        <w:pStyle w:val="ListBullet2"/>
      </w:pPr>
      <w:r w:rsidRPr="0014390D">
        <w:t>wafers</w:t>
      </w:r>
    </w:p>
    <w:p w:rsidR="00000000" w:rsidRPr="0014390D" w:rsidP="0014390D">
      <w:pPr>
        <w:pStyle w:val="ListBullet2"/>
      </w:pPr>
      <w:r w:rsidRPr="0014390D">
        <w:t>tablets</w:t>
      </w:r>
    </w:p>
    <w:p w:rsidR="00000000" w:rsidRPr="0014390D" w:rsidP="0014390D">
      <w:pPr>
        <w:pStyle w:val="ListBullet2"/>
      </w:pPr>
      <w:r w:rsidRPr="0014390D">
        <w:t>lozenges</w:t>
      </w:r>
    </w:p>
    <w:p w:rsidR="00000000" w:rsidRPr="0014390D" w:rsidP="0014390D">
      <w:pPr>
        <w:pStyle w:val="ListBullet2"/>
      </w:pPr>
      <w:r w:rsidRPr="0014390D">
        <w:t>capsules</w:t>
      </w:r>
    </w:p>
    <w:p w:rsidR="00000000" w:rsidRPr="0014390D" w:rsidP="0014390D">
      <w:pPr>
        <w:pStyle w:val="ListBullet2"/>
      </w:pPr>
      <w:r w:rsidRPr="0014390D">
        <w:t>elixir</w:t>
      </w:r>
    </w:p>
    <w:p w:rsidR="00000000" w:rsidRPr="0014390D" w:rsidP="0014390D">
      <w:pPr>
        <w:pStyle w:val="ListBullet2"/>
      </w:pPr>
      <w:r w:rsidRPr="0014390D">
        <w:t>suspension</w:t>
      </w:r>
    </w:p>
    <w:p w:rsidR="00000000" w:rsidRPr="0014390D" w:rsidP="0014390D">
      <w:pPr>
        <w:pStyle w:val="ListBullet2"/>
      </w:pPr>
      <w:r w:rsidRPr="0014390D">
        <w:t>solutions</w:t>
      </w:r>
    </w:p>
    <w:p w:rsidR="00000000" w:rsidRPr="0014390D" w:rsidP="0014390D">
      <w:pPr>
        <w:pStyle w:val="ListBullet2"/>
      </w:pPr>
      <w:r w:rsidRPr="0014390D">
        <w:t xml:space="preserve">creams </w:t>
      </w:r>
    </w:p>
    <w:p w:rsidR="00000000" w:rsidRPr="0014390D" w:rsidP="0014390D">
      <w:pPr>
        <w:pStyle w:val="ListBullet"/>
      </w:pPr>
      <w:r w:rsidRPr="0014390D">
        <w:t>major drug groups used in anaesthesia - presentation, formulation, indication, mode of action, system of delivery and administration routes, precautions, side effects, contraindications and adverse reactions, storage requirements, factors influen</w:t>
      </w:r>
      <w:r w:rsidRPr="0014390D">
        <w:t>cing drug actions, dosage variations for different types of clients for all of the following:</w:t>
      </w:r>
    </w:p>
    <w:p w:rsidR="00000000" w:rsidRPr="0014390D" w:rsidP="0014390D">
      <w:pPr>
        <w:pStyle w:val="ListBullet2"/>
      </w:pPr>
      <w:r w:rsidRPr="0014390D">
        <w:t>inhalational induction agents</w:t>
      </w:r>
    </w:p>
    <w:p w:rsidR="00000000" w:rsidRPr="0014390D" w:rsidP="0014390D">
      <w:pPr>
        <w:pStyle w:val="ListBullet2"/>
      </w:pPr>
      <w:r w:rsidRPr="0014390D">
        <w:t>intravenous induction agents</w:t>
      </w:r>
    </w:p>
    <w:p w:rsidR="00000000" w:rsidRPr="0014390D" w:rsidP="0014390D">
      <w:pPr>
        <w:pStyle w:val="ListBullet2"/>
      </w:pPr>
      <w:r w:rsidRPr="0014390D">
        <w:t>analgesics</w:t>
      </w:r>
    </w:p>
    <w:p w:rsidR="00000000" w:rsidRPr="0014390D" w:rsidP="0014390D">
      <w:pPr>
        <w:pStyle w:val="ListBullet2"/>
      </w:pPr>
      <w:r w:rsidRPr="0014390D">
        <w:t>non steroidal anti-inflammatory drugs (NSAID)</w:t>
      </w:r>
    </w:p>
    <w:p w:rsidR="00000000" w:rsidRPr="0014390D" w:rsidP="0014390D">
      <w:pPr>
        <w:pStyle w:val="ListBullet2"/>
      </w:pPr>
      <w:r w:rsidRPr="0014390D">
        <w:t>anti-emetics</w:t>
      </w:r>
    </w:p>
    <w:p w:rsidR="00000000" w:rsidRPr="0014390D" w:rsidP="0014390D">
      <w:pPr>
        <w:pStyle w:val="ListBullet2"/>
      </w:pPr>
      <w:r w:rsidRPr="0014390D">
        <w:t>muscle relaxants</w:t>
      </w:r>
    </w:p>
    <w:p w:rsidR="00000000" w:rsidRPr="0014390D" w:rsidP="0014390D">
      <w:pPr>
        <w:pStyle w:val="ListBullet2"/>
      </w:pPr>
      <w:r w:rsidRPr="0014390D">
        <w:t>respiratory med</w:t>
      </w:r>
      <w:r w:rsidRPr="0014390D">
        <w:t>ications</w:t>
      </w:r>
    </w:p>
    <w:p w:rsidR="00000000" w:rsidRPr="0014390D" w:rsidP="0014390D">
      <w:pPr>
        <w:pStyle w:val="ListBullet2"/>
      </w:pPr>
      <w:r w:rsidRPr="0014390D">
        <w:t>anticoagulants</w:t>
      </w:r>
    </w:p>
    <w:p w:rsidR="00000000" w:rsidRPr="0014390D" w:rsidP="0014390D">
      <w:pPr>
        <w:pStyle w:val="ListBullet2"/>
      </w:pPr>
      <w:r w:rsidRPr="0014390D">
        <w:t>local anaesthetics</w:t>
      </w:r>
    </w:p>
    <w:p w:rsidR="00000000" w:rsidRPr="0014390D" w:rsidP="0014390D">
      <w:pPr>
        <w:pStyle w:val="ListBullet2"/>
      </w:pPr>
      <w:r w:rsidRPr="0014390D">
        <w:t>antibiotics</w:t>
      </w:r>
    </w:p>
    <w:p w:rsidR="00000000" w:rsidRPr="0014390D" w:rsidP="0014390D">
      <w:pPr>
        <w:pStyle w:val="ListBullet2"/>
      </w:pPr>
      <w:r w:rsidRPr="0014390D">
        <w:t>cardiovascular medication, including diuretics</w:t>
      </w:r>
    </w:p>
    <w:p w:rsidR="00000000" w:rsidRPr="0014390D" w:rsidP="0014390D">
      <w:pPr>
        <w:pStyle w:val="ListBullet2"/>
      </w:pPr>
      <w:r w:rsidRPr="0014390D">
        <w:t>electrolytes</w:t>
      </w:r>
    </w:p>
    <w:p w:rsidR="00000000" w:rsidRPr="0014390D" w:rsidP="0014390D">
      <w:pPr>
        <w:pStyle w:val="ListBullet"/>
      </w:pPr>
      <w:r w:rsidRPr="0014390D">
        <w:t>drugs used in the management of the following conditions (which may complicate or co-exist with anaesthesia):</w:t>
      </w:r>
    </w:p>
    <w:p w:rsidR="00000000" w:rsidRPr="0014390D" w:rsidP="0014390D">
      <w:pPr>
        <w:pStyle w:val="ListBullet2"/>
      </w:pPr>
      <w:r w:rsidRPr="0014390D">
        <w:t>adrenal dysfunction</w:t>
      </w:r>
    </w:p>
    <w:p w:rsidR="00000000" w:rsidRPr="0014390D" w:rsidP="0014390D">
      <w:pPr>
        <w:pStyle w:val="ListBullet2"/>
      </w:pPr>
      <w:r w:rsidRPr="0014390D">
        <w:t>anaphylaxis</w:t>
      </w:r>
    </w:p>
    <w:p w:rsidR="00000000" w:rsidRPr="0014390D" w:rsidP="0014390D">
      <w:pPr>
        <w:pStyle w:val="ListBullet2"/>
      </w:pPr>
      <w:r w:rsidRPr="0014390D">
        <w:t>angina</w:t>
      </w:r>
    </w:p>
    <w:p w:rsidR="00000000" w:rsidRPr="0014390D" w:rsidP="0014390D">
      <w:pPr>
        <w:pStyle w:val="ListBullet2"/>
      </w:pPr>
      <w:r w:rsidRPr="0014390D">
        <w:t>bronchospasm</w:t>
      </w:r>
    </w:p>
    <w:p w:rsidR="00000000" w:rsidRPr="0014390D" w:rsidP="0014390D">
      <w:pPr>
        <w:pStyle w:val="ListBullet2"/>
      </w:pPr>
      <w:r w:rsidRPr="0014390D">
        <w:t>cardiac arrest</w:t>
      </w:r>
    </w:p>
    <w:p w:rsidR="00000000" w:rsidRPr="0014390D" w:rsidP="0014390D">
      <w:pPr>
        <w:pStyle w:val="ListBullet2"/>
      </w:pPr>
      <w:r w:rsidRPr="0014390D">
        <w:t>cardiac arrhythmias</w:t>
      </w:r>
    </w:p>
    <w:p w:rsidR="00000000" w:rsidRPr="0014390D" w:rsidP="0014390D">
      <w:pPr>
        <w:pStyle w:val="ListBullet2"/>
      </w:pPr>
      <w:r w:rsidRPr="0014390D">
        <w:t>congestive heart failure</w:t>
      </w:r>
    </w:p>
    <w:p w:rsidR="00000000" w:rsidRPr="0014390D" w:rsidP="0014390D">
      <w:pPr>
        <w:pStyle w:val="ListBullet2"/>
      </w:pPr>
      <w:r w:rsidRPr="0014390D">
        <w:t>coagulopathies</w:t>
      </w:r>
    </w:p>
    <w:p w:rsidR="00000000" w:rsidRPr="0014390D" w:rsidP="0014390D">
      <w:pPr>
        <w:pStyle w:val="ListBullet2"/>
      </w:pPr>
      <w:r w:rsidRPr="0014390D">
        <w:t>deep vein thrombosis</w:t>
      </w:r>
    </w:p>
    <w:p w:rsidR="00000000" w:rsidRPr="0014390D" w:rsidP="0014390D">
      <w:pPr>
        <w:pStyle w:val="ListBullet2"/>
      </w:pPr>
      <w:r w:rsidRPr="0014390D">
        <w:t>endocrine dysfunction</w:t>
      </w:r>
    </w:p>
    <w:p w:rsidR="00000000" w:rsidRPr="0014390D" w:rsidP="0014390D">
      <w:pPr>
        <w:pStyle w:val="ListBullet2"/>
      </w:pPr>
      <w:r w:rsidRPr="0014390D">
        <w:t>hypoglycaemia</w:t>
      </w:r>
    </w:p>
    <w:p w:rsidR="00000000" w:rsidRPr="0014390D" w:rsidP="0014390D">
      <w:pPr>
        <w:pStyle w:val="ListBullet2"/>
      </w:pPr>
      <w:r w:rsidRPr="0014390D">
        <w:t>hypotension</w:t>
      </w:r>
    </w:p>
    <w:p w:rsidR="00000000" w:rsidRPr="0014390D" w:rsidP="0014390D">
      <w:pPr>
        <w:pStyle w:val="ListBullet2"/>
      </w:pPr>
      <w:r w:rsidRPr="0014390D">
        <w:t>hyperglycaemia</w:t>
      </w:r>
    </w:p>
    <w:p w:rsidR="00000000" w:rsidRPr="0014390D" w:rsidP="0014390D">
      <w:pPr>
        <w:pStyle w:val="ListBullet2"/>
      </w:pPr>
      <w:r w:rsidRPr="0014390D">
        <w:t>hypertension</w:t>
      </w:r>
    </w:p>
    <w:p w:rsidR="00000000" w:rsidRPr="0014390D" w:rsidP="0014390D">
      <w:pPr>
        <w:pStyle w:val="ListBullet2"/>
      </w:pPr>
      <w:r w:rsidRPr="0014390D">
        <w:t>pulmonary oedema/embolism</w:t>
      </w:r>
    </w:p>
    <w:p w:rsidR="00000000" w:rsidRPr="0014390D" w:rsidP="0014390D">
      <w:pPr>
        <w:pStyle w:val="ListBullet2"/>
      </w:pPr>
      <w:r w:rsidRPr="0014390D">
        <w:t>raised intracranial/intra-ocular pressure</w:t>
      </w:r>
    </w:p>
    <w:p w:rsidR="00000000" w:rsidRPr="0014390D" w:rsidP="0014390D">
      <w:pPr>
        <w:pStyle w:val="ListBullet2"/>
      </w:pPr>
      <w:r w:rsidRPr="0014390D">
        <w:t>respiratory depression/compromise</w:t>
      </w:r>
    </w:p>
    <w:p w:rsidR="00000000" w:rsidRPr="0014390D" w:rsidP="0014390D">
      <w:pPr>
        <w:pStyle w:val="ListBullet2"/>
      </w:pPr>
      <w:r w:rsidRPr="0014390D">
        <w:t>stroke</w:t>
      </w:r>
    </w:p>
    <w:p w:rsidR="00000000" w:rsidRPr="0014390D" w:rsidP="0014390D">
      <w:pPr>
        <w:pStyle w:val="ListBullet2"/>
      </w:pPr>
      <w:r w:rsidRPr="0014390D">
        <w:t>seizure</w:t>
      </w:r>
    </w:p>
    <w:p w:rsidR="00000000" w:rsidRPr="0014390D" w:rsidP="0014390D">
      <w:pPr>
        <w:pStyle w:val="ListBullet2"/>
      </w:pPr>
      <w:r w:rsidRPr="0014390D">
        <w:t xml:space="preserve">uterine atony </w:t>
      </w:r>
    </w:p>
    <w:p w:rsidR="00000000" w:rsidRPr="0014390D" w:rsidP="0014390D">
      <w:pPr>
        <w:pStyle w:val="ListBullet"/>
      </w:pPr>
      <w:r w:rsidRPr="0014390D">
        <w:t>methods of drug preparation, including:</w:t>
      </w:r>
    </w:p>
    <w:p w:rsidR="00000000" w:rsidRPr="0014390D" w:rsidP="0014390D">
      <w:pPr>
        <w:pStyle w:val="ListBullet2"/>
      </w:pPr>
      <w:r w:rsidRPr="0014390D">
        <w:t>dilutions</w:t>
      </w:r>
    </w:p>
    <w:p w:rsidR="00000000" w:rsidRPr="0014390D" w:rsidP="0014390D">
      <w:pPr>
        <w:pStyle w:val="ListBullet2"/>
      </w:pPr>
      <w:r w:rsidRPr="0014390D">
        <w:t>reconstitutions</w:t>
      </w:r>
    </w:p>
    <w:p w:rsidR="00000000" w:rsidRPr="0014390D" w:rsidP="0014390D">
      <w:pPr>
        <w:pStyle w:val="ListBullet"/>
      </w:pPr>
      <w:r w:rsidRPr="0014390D">
        <w:t>factors to consider when calculating medication dosages including:</w:t>
      </w:r>
    </w:p>
    <w:p w:rsidR="00000000" w:rsidRPr="0014390D" w:rsidP="0014390D">
      <w:pPr>
        <w:pStyle w:val="ListBullet2"/>
      </w:pPr>
      <w:r w:rsidRPr="0014390D">
        <w:t>calculation formulae</w:t>
      </w:r>
    </w:p>
    <w:p w:rsidR="00000000" w:rsidRPr="0014390D" w:rsidP="0014390D">
      <w:pPr>
        <w:pStyle w:val="ListBullet2"/>
      </w:pPr>
      <w:r w:rsidRPr="0014390D">
        <w:t>calculation of dosages of injectable drugs (liquid, solid, unit dosages)</w:t>
      </w:r>
    </w:p>
    <w:p w:rsidR="00000000" w:rsidRPr="0014390D" w:rsidP="0014390D">
      <w:pPr>
        <w:pStyle w:val="ListBullet2"/>
      </w:pPr>
      <w:r w:rsidRPr="0014390D">
        <w:t>flow rate drops per minute</w:t>
      </w:r>
    </w:p>
    <w:p w:rsidR="00000000" w:rsidRPr="0014390D" w:rsidP="0014390D">
      <w:pPr>
        <w:pStyle w:val="ListBullet2"/>
      </w:pPr>
      <w:r w:rsidRPr="0014390D">
        <w:t>flow rate millilitres per hour</w:t>
      </w:r>
    </w:p>
    <w:p w:rsidR="00000000" w:rsidRPr="0014390D" w:rsidP="0014390D">
      <w:pPr>
        <w:pStyle w:val="ListBullet2"/>
      </w:pPr>
      <w:r w:rsidRPr="0014390D">
        <w:t>duration of infusion</w:t>
      </w:r>
    </w:p>
    <w:p w:rsidR="00000000" w:rsidRPr="0014390D" w:rsidP="0014390D">
      <w:pPr>
        <w:pStyle w:val="ListBullet2"/>
      </w:pPr>
      <w:r w:rsidRPr="0014390D">
        <w:t>paediatric dosage calculations (body weight, surface area, age related dose reducti</w:t>
      </w:r>
      <w:r w:rsidRPr="0014390D">
        <w:t>on)</w:t>
      </w:r>
    </w:p>
    <w:p w:rsidR="00000000" w:rsidRPr="0014390D" w:rsidP="0014390D">
      <w:pPr>
        <w:pStyle w:val="ListBullet2"/>
      </w:pPr>
      <w:r w:rsidRPr="0014390D">
        <w:t>geriatric dosage calculations (body weight, surface area and age)</w:t>
      </w:r>
    </w:p>
    <w:p w:rsidR="00000000" w:rsidRPr="0014390D" w:rsidP="0014390D">
      <w:pPr>
        <w:pStyle w:val="ListBullet"/>
      </w:pPr>
      <w:r w:rsidRPr="0014390D">
        <w:t>methods of storage and handling of medication</w:t>
      </w:r>
    </w:p>
    <w:p w:rsidR="00000000" w:rsidRPr="0014390D" w:rsidP="0014390D">
      <w:pPr>
        <w:pStyle w:val="ListBullet"/>
      </w:pPr>
      <w:r w:rsidRPr="0014390D">
        <w:t>equipment for administration of medications, including:</w:t>
      </w:r>
    </w:p>
    <w:p w:rsidR="00000000" w:rsidRPr="0014390D" w:rsidP="0014390D">
      <w:pPr>
        <w:pStyle w:val="ListBullet2"/>
      </w:pPr>
      <w:r w:rsidRPr="0014390D">
        <w:t>volumetric pumps</w:t>
      </w:r>
    </w:p>
    <w:p w:rsidR="00000000" w:rsidRPr="0014390D" w:rsidP="0014390D">
      <w:pPr>
        <w:pStyle w:val="ListBullet2"/>
      </w:pPr>
      <w:r w:rsidRPr="0014390D">
        <w:t>syringe drivers</w:t>
      </w:r>
    </w:p>
    <w:p w:rsidR="00000000" w:rsidRPr="0014390D" w:rsidP="0014390D">
      <w:pPr>
        <w:pStyle w:val="ListBullet2"/>
      </w:pPr>
      <w:r w:rsidRPr="0014390D">
        <w:t>consumables</w:t>
      </w:r>
    </w:p>
    <w:p w:rsidR="00000000" w:rsidRPr="0014390D" w:rsidP="0014390D">
      <w:pPr>
        <w:pStyle w:val="ListBullet"/>
      </w:pPr>
      <w:r w:rsidRPr="0014390D">
        <w:t>infusion products and equipment:</w:t>
      </w:r>
    </w:p>
    <w:p w:rsidR="00000000" w:rsidRPr="0014390D" w:rsidP="0014390D">
      <w:pPr>
        <w:pStyle w:val="ListBullet2"/>
      </w:pPr>
      <w:r w:rsidRPr="0014390D">
        <w:t>rapid infusers</w:t>
      </w:r>
    </w:p>
    <w:p w:rsidR="00000000" w:rsidRPr="0014390D" w:rsidP="0014390D">
      <w:pPr>
        <w:pStyle w:val="ListBullet2"/>
      </w:pPr>
      <w:r w:rsidRPr="0014390D">
        <w:t>warming devices</w:t>
      </w:r>
    </w:p>
    <w:p w:rsidR="00000000" w:rsidRPr="0014390D" w:rsidP="0014390D">
      <w:pPr>
        <w:pStyle w:val="ListBullet2"/>
      </w:pPr>
      <w:r w:rsidRPr="0014390D">
        <w:t>burettes</w:t>
      </w:r>
    </w:p>
    <w:p w:rsidR="00000000" w:rsidRPr="0014390D" w:rsidP="0014390D">
      <w:pPr>
        <w:pStyle w:val="ListBullet2"/>
      </w:pPr>
      <w:r w:rsidRPr="0014390D">
        <w:t>infusion sets and attachments</w:t>
      </w:r>
    </w:p>
    <w:p w:rsidR="00000000" w:rsidRPr="0014390D" w:rsidP="0014390D">
      <w:pPr>
        <w:pStyle w:val="ListBullet2"/>
      </w:pPr>
      <w:r w:rsidRPr="0014390D">
        <w:t>blood and blood products</w:t>
      </w:r>
    </w:p>
    <w:p w:rsidR="00000000" w:rsidRPr="0014390D" w:rsidP="0014390D">
      <w:pPr>
        <w:pStyle w:val="ListBullet2"/>
      </w:pPr>
      <w:r w:rsidRPr="0014390D">
        <w:t>crystalloids</w:t>
      </w:r>
    </w:p>
    <w:p w:rsidR="00000000" w:rsidRPr="0014390D" w:rsidP="0014390D">
      <w:pPr>
        <w:pStyle w:val="ListBullet2"/>
      </w:pPr>
      <w:r w:rsidRPr="0014390D">
        <w:t>colloids</w:t>
      </w:r>
    </w:p>
    <w:p w:rsidR="00000000" w:rsidRPr="0014390D" w:rsidP="0014390D">
      <w:pPr>
        <w:pStyle w:val="ListBullet"/>
      </w:pPr>
      <w:r w:rsidRPr="0014390D">
        <w:t>massive transfusion protocol</w:t>
      </w:r>
    </w:p>
    <w:p w:rsidR="00000000" w:rsidRPr="0014390D" w:rsidP="0014390D">
      <w:pPr>
        <w:pStyle w:val="ListBullet"/>
      </w:pPr>
      <w:r w:rsidRPr="0014390D">
        <w:t>emergency medical management of anaphylaxis and adverse drug/fluid reactions</w:t>
      </w:r>
    </w:p>
    <w:p w:rsidR="00000000" w:rsidRPr="0014390D" w:rsidP="0014390D">
      <w:pPr>
        <w:pStyle w:val="AllowPageBreak"/>
      </w:pPr>
    </w:p>
    <w:p w:rsidR="00000000" w:rsidRPr="0014390D" w:rsidP="0014390D">
      <w:pPr>
        <w:pStyle w:val="Heading1"/>
      </w:pPr>
      <w:bookmarkStart w:id="10" w:name="O_742222"/>
      <w:bookmarkEnd w:id="10"/>
      <w:r w:rsidRPr="0014390D">
        <w:t>Assessment Conditions</w:t>
      </w:r>
    </w:p>
    <w:p w:rsidR="00000000" w:rsidRPr="0014390D" w:rsidP="00674B83">
      <w:pPr>
        <w:pStyle w:val="BodyText"/>
      </w:pPr>
      <w:r w:rsidRPr="0014390D">
        <w:t xml:space="preserve">Skills must have been demonstrated in the workplace or in a simulated environment that reflects workplace conditions. The following conditions must be met for this unit: </w:t>
      </w:r>
    </w:p>
    <w:p w:rsidR="00000000" w:rsidRPr="0014390D" w:rsidP="0014390D">
      <w:pPr>
        <w:pStyle w:val="ListBullet"/>
      </w:pPr>
      <w:r w:rsidRPr="0014390D">
        <w:t>use of suitable facilities, equipment and resources, including</w:t>
      </w:r>
      <w:r w:rsidRPr="0014390D">
        <w:t xml:space="preserve">: </w:t>
      </w:r>
    </w:p>
    <w:p w:rsidR="00000000" w:rsidRPr="0014390D" w:rsidP="0014390D">
      <w:pPr>
        <w:pStyle w:val="ListBullet"/>
      </w:pPr>
      <w:r w:rsidRPr="0014390D">
        <w:t>manufacturer’s instructions</w:t>
      </w:r>
    </w:p>
    <w:p w:rsidR="00000000" w:rsidRPr="0014390D" w:rsidP="0014390D">
      <w:pPr>
        <w:pStyle w:val="ListBullet"/>
      </w:pPr>
      <w:r w:rsidRPr="0014390D">
        <w:t xml:space="preserve">organisation policies and procedures </w:t>
      </w:r>
    </w:p>
    <w:p w:rsidR="00000000" w:rsidRPr="0014390D" w:rsidP="0014390D">
      <w:pPr>
        <w:pStyle w:val="ListBullet"/>
      </w:pPr>
      <w:r w:rsidRPr="0014390D">
        <w:t>MIMS</w:t>
      </w:r>
    </w:p>
    <w:p w:rsidR="00000000" w:rsidRPr="0014390D" w:rsidP="0014390D">
      <w:pPr>
        <w:pStyle w:val="ListBullet"/>
      </w:pPr>
      <w:r w:rsidRPr="0014390D">
        <w:t>Australian &amp; New Zealand Society of Blood Transfusion (ANZSBT)</w:t>
      </w:r>
    </w:p>
    <w:p w:rsidR="00000000" w:rsidRPr="0014390D" w:rsidP="0014390D">
      <w:pPr>
        <w:pStyle w:val="ListBullet"/>
      </w:pPr>
      <w:r w:rsidRPr="0014390D">
        <w:t>Australian and New Zealand College of Anaesthetists (ANZCA)</w:t>
      </w:r>
    </w:p>
    <w:p w:rsidR="00000000" w:rsidRPr="0014390D" w:rsidP="0014390D">
      <w:pPr>
        <w:pStyle w:val="ListBullet"/>
      </w:pPr>
      <w:r w:rsidRPr="0014390D">
        <w:t>medications</w:t>
      </w:r>
    </w:p>
    <w:p w:rsidR="00000000" w:rsidRPr="0014390D" w:rsidP="0014390D">
      <w:pPr>
        <w:pStyle w:val="ListBullet"/>
      </w:pPr>
      <w:r w:rsidRPr="0014390D">
        <w:t>modelling of industry operating conditions, inc</w:t>
      </w:r>
      <w:r w:rsidRPr="0014390D">
        <w:t>luding presence of situations requiring problem solving in non-routine situations</w:t>
      </w:r>
    </w:p>
    <w:p w:rsidR="00000000" w:rsidRPr="0014390D" w:rsidP="0014390D">
      <w:pPr>
        <w:pStyle w:val="BodyText"/>
      </w:pPr>
    </w:p>
    <w:p w:rsidR="00000000" w:rsidRPr="0014390D" w:rsidP="00674B83">
      <w:pPr>
        <w:pStyle w:val="BodyText"/>
      </w:pPr>
      <w:r w:rsidRPr="0014390D">
        <w:t>Assessors must satisfy the Standards for Registered Training Organisations (RTOs) 2015/AQTF mandatory competency requirements for assessors.</w:t>
      </w:r>
    </w:p>
    <w:p w:rsidR="00000000" w:rsidRPr="0014390D" w:rsidP="0014390D">
      <w:pPr>
        <w:pStyle w:val="Heading1"/>
      </w:pPr>
      <w:bookmarkStart w:id="11" w:name="O_742225"/>
      <w:bookmarkEnd w:id="11"/>
      <w:r w:rsidRPr="0014390D">
        <w:t>Links</w:t>
      </w:r>
    </w:p>
    <w:p w:rsidR="00000000" w:rsidRPr="0014390D" w:rsidP="00674B83">
      <w:pPr>
        <w:pStyle w:val="BodyText"/>
      </w:pPr>
      <w:r w:rsidRPr="0014390D">
        <w:t>Companion</w:t>
      </w:r>
      <w:r w:rsidRPr="0014390D">
        <w:t xml:space="preserve"> Volume implementation guides are found in VETNet - </w:t>
      </w:r>
      <w:r>
        <w:fldChar w:fldCharType="begin"/>
      </w:r>
      <w:r>
        <w:instrText xml:space="preserve"> HYPERLINK "https://vetnet.gov.au/Pages/TrainingDocs.aspx?q=ced1390f-48d9-4ab0-bd50-b015e5485705" </w:instrText>
      </w:r>
      <w:r>
        <w:fldChar w:fldCharType="separate"/>
      </w:r>
      <w:r w:rsidRPr="00B1215E">
        <w:rPr>
          <w:rStyle w:val="Hyperlink"/>
        </w:rPr>
        <w:t>https://vetnet.gov.au/Pages/TrainingDocs.aspx?q=ced1390f-48d9-4ab0-bd50-b015e5485705</w:t>
      </w:r>
      <w:r>
        <w:fldChar w:fldCharType="end"/>
      </w:r>
    </w:p>
    <w:p w:rsidR="00000000" w:rsidRPr="0014390D" w:rsidP="0014390D"/>
    <w:sectPr w:rsidSect="001439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0D" w:rsidRPr="00674B83" w:rsidP="00674B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83" w:rsidP="00143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674B83" w:rsidP="001439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74B83" w:rsidP="001439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0D" w:rsidP="0014390D">
    <w:pPr>
      <w:pStyle w:val="Footer"/>
      <w:framePr w:wrap="around"/>
    </w:pPr>
    <w:r>
      <w:fldChar w:fldCharType="begin"/>
    </w:r>
    <w:r>
      <w:instrText xml:space="preserve"> DOCPROPERTY  Subject  \* MERGEFORMAT </w:instrText>
    </w:r>
    <w:r>
      <w:fldChar w:fldCharType="separate"/>
    </w:r>
    <w:r w:rsidR="00674B83">
      <w:t>Approved</w:t>
    </w:r>
    <w:r w:rsidR="00674B83">
      <w:fldChar w:fldCharType="end"/>
    </w:r>
    <w:r>
      <w:tab/>
      <w:t xml:space="preserve">Page </w:t>
    </w:r>
    <w:r>
      <w:fldChar w:fldCharType="begin"/>
    </w:r>
    <w:r>
      <w:instrText xml:space="preserve"> PAGE  \* Arabic  \* MERGEFORMAT </w:instrText>
    </w:r>
    <w:r>
      <w:fldChar w:fldCharType="separate"/>
    </w:r>
    <w:r w:rsidR="00674B8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4B83">
      <w:rPr>
        <w:noProof/>
      </w:rPr>
      <w:t>6</w:t>
    </w:r>
    <w:r>
      <w:rPr>
        <w:noProof/>
      </w:rPr>
      <w:fldChar w:fldCharType="end"/>
    </w:r>
  </w:p>
  <w:p w:rsidR="0014390D" w:rsidP="0014390D">
    <w:pPr>
      <w:pStyle w:val="Footer"/>
      <w:framePr w:wrap="around"/>
    </w:pPr>
    <w:r>
      <w:t xml:space="preserve">© Commonwealth of Australia, </w:t>
    </w:r>
    <w:r>
      <w:fldChar w:fldCharType="begin"/>
    </w:r>
    <w:r>
      <w:instrText xml:space="preserve"> DATE  \@ "yyyy"  \* MERGEFORMAT </w:instrText>
    </w:r>
    <w:r>
      <w:fldChar w:fldCharType="separate"/>
    </w:r>
    <w:r w:rsidR="00674B83">
      <w:rPr>
        <w:noProof/>
      </w:rPr>
      <w:t>2025</w:t>
    </w:r>
    <w:r>
      <w:fldChar w:fldCharType="end"/>
    </w:r>
    <w:r>
      <w:tab/>
    </w:r>
    <w:r>
      <w:fldChar w:fldCharType="begin"/>
    </w:r>
    <w:r>
      <w:instrText xml:space="preserve"> DOCPROPERTY  Author  \* MERGEFORMAT </w:instrText>
    </w:r>
    <w:r>
      <w:fldChar w:fldCharType="separate"/>
    </w:r>
    <w:r w:rsidR="00674B83">
      <w:t>HumanAbility</w:t>
    </w:r>
    <w:r w:rsidR="00674B83">
      <w:fldChar w:fldCharType="end"/>
    </w:r>
  </w:p>
  <w:p w:rsidR="0014390D" w:rsidP="001439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390D" w:rsidRPr="00674B83" w:rsidP="00674B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B83" w:rsidRPr="002D2AF8" w:rsidP="0014390D">
    <w:pPr>
      <w:pStyle w:val="Header"/>
      <w:framePr w:wrap="around"/>
    </w:pPr>
    <w:r>
      <w:fldChar w:fldCharType="begin"/>
    </w:r>
    <w:r>
      <w:instrText xml:space="preserve"> TITLE   \* MERGEFORMAT </w:instrText>
    </w:r>
    <w:r>
      <w:fldChar w:fldCharType="separate"/>
    </w:r>
    <w:r>
      <w:t>HLTANA007 Monitor medications in the anaesthetic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74B83" w:rsidP="001439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90D" w:rsidRPr="002D2AF8" w:rsidP="0014390D">
    <w:pPr>
      <w:pStyle w:val="Header"/>
      <w:framePr w:wrap="around"/>
    </w:pPr>
    <w:r>
      <w:fldChar w:fldCharType="begin"/>
    </w:r>
    <w:r>
      <w:instrText xml:space="preserve"> TITLE   \* MERGEFORMAT </w:instrText>
    </w:r>
    <w:r>
      <w:fldChar w:fldCharType="separate"/>
    </w:r>
    <w:r w:rsidR="00674B83">
      <w:t>HLTANA007 Monitor medications in the anaesthetic environment</w:t>
    </w:r>
    <w:r w:rsidR="00674B83">
      <w:fldChar w:fldCharType="end"/>
    </w:r>
    <w:r>
      <w:tab/>
      <w:t xml:space="preserve">Date this document was generated: </w:t>
    </w:r>
    <w:r>
      <w:fldChar w:fldCharType="begin"/>
    </w:r>
    <w:r>
      <w:instrText xml:space="preserve"> CREATEDATE  \@ "d MMMM yyyy"  \* MERGEFORMAT </w:instrText>
    </w:r>
    <w:r>
      <w:fldChar w:fldCharType="separate"/>
    </w:r>
    <w:r w:rsidR="00674B83">
      <w:rPr>
        <w:noProof/>
      </w:rPr>
      <w:t>1 March 2025</w:t>
    </w:r>
    <w:r>
      <w:fldChar w:fldCharType="end"/>
    </w:r>
  </w:p>
  <w:p w:rsidR="0014390D" w:rsidP="00143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9A5B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A2E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D0E1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390D"/>
    <w:pPr>
      <w:spacing w:before="360" w:after="60"/>
      <w:outlineLvl w:val="0"/>
    </w:pPr>
    <w:rPr>
      <w:sz w:val="32"/>
    </w:rPr>
  </w:style>
  <w:style w:type="paragraph" w:styleId="Heading2">
    <w:name w:val="heading 2"/>
    <w:basedOn w:val="HeadingBase"/>
    <w:next w:val="BodyText"/>
    <w:link w:val="Heading2Char"/>
    <w:qFormat/>
    <w:rsid w:val="0014390D"/>
    <w:pPr>
      <w:keepLines/>
      <w:spacing w:before="240" w:after="120"/>
      <w:outlineLvl w:val="1"/>
    </w:pPr>
    <w:rPr>
      <w:sz w:val="28"/>
      <w:szCs w:val="40"/>
    </w:rPr>
  </w:style>
  <w:style w:type="paragraph" w:styleId="Heading3">
    <w:name w:val="heading 3"/>
    <w:basedOn w:val="HeadingBase"/>
    <w:next w:val="BodyText"/>
    <w:link w:val="Heading3Char"/>
    <w:qFormat/>
    <w:rsid w:val="0014390D"/>
    <w:pPr>
      <w:spacing w:before="180" w:after="120"/>
      <w:outlineLvl w:val="2"/>
    </w:pPr>
    <w:rPr>
      <w:spacing w:val="-10"/>
      <w:kern w:val="32"/>
    </w:rPr>
  </w:style>
  <w:style w:type="paragraph" w:styleId="Heading4">
    <w:name w:val="heading 4"/>
    <w:basedOn w:val="HeadingBase"/>
    <w:next w:val="BodyText"/>
    <w:link w:val="Heading4Char"/>
    <w:qFormat/>
    <w:rsid w:val="0014390D"/>
    <w:pPr>
      <w:spacing w:before="160" w:after="120"/>
      <w:outlineLvl w:val="3"/>
    </w:pPr>
    <w:rPr>
      <w:sz w:val="22"/>
    </w:rPr>
  </w:style>
  <w:style w:type="paragraph" w:styleId="Heading5">
    <w:name w:val="heading 5"/>
    <w:basedOn w:val="HeadingBase"/>
    <w:next w:val="Normal"/>
    <w:link w:val="Heading5Char"/>
    <w:qFormat/>
    <w:rsid w:val="0014390D"/>
    <w:pPr>
      <w:spacing w:before="80"/>
      <w:outlineLvl w:val="4"/>
    </w:pPr>
    <w:rPr>
      <w:color w:val="918585"/>
      <w:sz w:val="20"/>
    </w:rPr>
  </w:style>
  <w:style w:type="paragraph" w:styleId="Heading6">
    <w:name w:val="heading 6"/>
    <w:basedOn w:val="HeadingBase"/>
    <w:next w:val="Normal"/>
    <w:link w:val="Heading6Char"/>
    <w:qFormat/>
    <w:rsid w:val="0014390D"/>
    <w:pPr>
      <w:spacing w:before="60"/>
      <w:outlineLvl w:val="5"/>
    </w:pPr>
    <w:rPr>
      <w:color w:val="918585"/>
      <w:sz w:val="20"/>
    </w:rPr>
  </w:style>
  <w:style w:type="paragraph" w:styleId="Heading7">
    <w:name w:val="heading 7"/>
    <w:basedOn w:val="Normal"/>
    <w:next w:val="Normal"/>
    <w:link w:val="Heading7Char"/>
    <w:qFormat/>
    <w:rsid w:val="0014390D"/>
    <w:pPr>
      <w:ind w:left="720"/>
      <w:outlineLvl w:val="6"/>
    </w:pPr>
    <w:rPr>
      <w:i/>
    </w:rPr>
  </w:style>
  <w:style w:type="paragraph" w:styleId="Heading8">
    <w:name w:val="heading 8"/>
    <w:basedOn w:val="Normal"/>
    <w:next w:val="Normal"/>
    <w:link w:val="Heading8Char"/>
    <w:qFormat/>
    <w:rsid w:val="0014390D"/>
    <w:pPr>
      <w:ind w:left="720"/>
      <w:outlineLvl w:val="7"/>
    </w:pPr>
    <w:rPr>
      <w:i/>
    </w:rPr>
  </w:style>
  <w:style w:type="paragraph" w:styleId="Heading9">
    <w:name w:val="heading 9"/>
    <w:basedOn w:val="Normal"/>
    <w:next w:val="Normal"/>
    <w:link w:val="Heading9Char"/>
    <w:qFormat/>
    <w:rsid w:val="0014390D"/>
    <w:pPr>
      <w:ind w:left="720"/>
      <w:outlineLvl w:val="8"/>
    </w:pPr>
    <w:rPr>
      <w:i/>
    </w:rPr>
  </w:style>
  <w:style w:type="character" w:default="1" w:styleId="DefaultParagraphFont">
    <w:name w:val="Default Paragraph Font"/>
    <w:uiPriority w:val="1"/>
    <w:unhideWhenUsed/>
    <w:rsid w:val="00143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90D"/>
  </w:style>
  <w:style w:type="character" w:customStyle="1" w:styleId="Heading1Char">
    <w:name w:val="Heading 1 Char"/>
    <w:basedOn w:val="DefaultParagraphFont"/>
    <w:link w:val="Heading1"/>
    <w:rsid w:val="0014390D"/>
    <w:rPr>
      <w:rFonts w:ascii="Times New Roman" w:eastAsia="Times New Roman" w:hAnsi="Times New Roman" w:cs="Times New Roman"/>
      <w:b/>
      <w:sz w:val="32"/>
      <w:szCs w:val="20"/>
      <w:lang w:eastAsia="en-US"/>
    </w:rPr>
  </w:style>
  <w:style w:type="paragraph" w:styleId="BodyText">
    <w:name w:val="Body Text"/>
    <w:basedOn w:val="Normal"/>
    <w:link w:val="BodyTextChar"/>
    <w:rsid w:val="001439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390D"/>
    <w:rPr>
      <w:rFonts w:ascii="Times New Roman" w:eastAsia="Times New Roman" w:hAnsi="Times New Roman" w:cs="Times New Roman"/>
      <w:sz w:val="24"/>
      <w:lang w:eastAsia="en-US"/>
    </w:rPr>
  </w:style>
  <w:style w:type="paragraph" w:styleId="ListBullet">
    <w:name w:val="List Bullet"/>
    <w:basedOn w:val="List"/>
    <w:rsid w:val="0014390D"/>
    <w:pPr>
      <w:numPr>
        <w:numId w:val="12"/>
      </w:numPr>
      <w:tabs>
        <w:tab w:val="clear" w:pos="340"/>
      </w:tabs>
      <w:spacing w:before="40" w:after="40"/>
    </w:pPr>
  </w:style>
  <w:style w:type="character" w:customStyle="1" w:styleId="SpecialBold">
    <w:name w:val="Special Bold"/>
    <w:basedOn w:val="DefaultParagraphFont"/>
    <w:rsid w:val="0014390D"/>
    <w:rPr>
      <w:b/>
      <w:spacing w:val="0"/>
    </w:rPr>
  </w:style>
  <w:style w:type="paragraph" w:styleId="ListBullet2">
    <w:name w:val="List Bullet 2"/>
    <w:basedOn w:val="List2"/>
    <w:rsid w:val="0014390D"/>
    <w:pPr>
      <w:numPr>
        <w:numId w:val="13"/>
      </w:numPr>
      <w:tabs>
        <w:tab w:val="clear" w:pos="680"/>
      </w:tabs>
    </w:pPr>
  </w:style>
  <w:style w:type="character" w:styleId="Emphasis">
    <w:name w:val="Emphasis"/>
    <w:basedOn w:val="DefaultParagraphFont"/>
    <w:qFormat/>
    <w:rsid w:val="0014390D"/>
    <w:rPr>
      <w:i/>
    </w:rPr>
  </w:style>
  <w:style w:type="paragraph" w:customStyle="1" w:styleId="SuperHeading">
    <w:name w:val="SuperHeading"/>
    <w:basedOn w:val="Normal"/>
    <w:rsid w:val="0014390D"/>
    <w:pPr>
      <w:spacing w:before="240" w:after="120"/>
      <w:outlineLvl w:val="0"/>
    </w:pPr>
    <w:rPr>
      <w:rFonts w:ascii="Times New Roman" w:hAnsi="Times New Roman"/>
      <w:b/>
      <w:sz w:val="32"/>
    </w:rPr>
  </w:style>
  <w:style w:type="paragraph" w:customStyle="1" w:styleId="AllowPageBreak">
    <w:name w:val="AllowPageBreak"/>
    <w:rsid w:val="00143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3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3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390D"/>
    <w:rPr>
      <w:rFonts w:ascii="Courier New" w:eastAsia="Times New Roman" w:hAnsi="Courier New" w:cs="Times New Roman"/>
      <w:i/>
      <w:szCs w:val="20"/>
      <w:lang w:eastAsia="en-US"/>
    </w:rPr>
  </w:style>
  <w:style w:type="paragraph" w:customStyle="1" w:styleId="HeadingBase">
    <w:name w:val="Heading Base"/>
    <w:rsid w:val="00143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90D"/>
    <w:pPr>
      <w:tabs>
        <w:tab w:val="right" w:leader="dot" w:pos="9072"/>
      </w:tabs>
      <w:ind w:left="567"/>
    </w:pPr>
    <w:rPr>
      <w:szCs w:val="22"/>
    </w:rPr>
  </w:style>
  <w:style w:type="paragraph" w:customStyle="1" w:styleId="TOCBase">
    <w:name w:val="TOC Base"/>
    <w:rsid w:val="00143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90D"/>
    <w:pPr>
      <w:tabs>
        <w:tab w:val="right" w:leader="dot" w:pos="9072"/>
      </w:tabs>
      <w:spacing w:before="40" w:after="40"/>
      <w:ind w:left="284"/>
    </w:pPr>
    <w:rPr>
      <w:rFonts w:ascii="Times New Roman" w:hAnsi="Times New Roman"/>
    </w:rPr>
  </w:style>
  <w:style w:type="paragraph" w:styleId="TOC1">
    <w:name w:val="toc 1"/>
    <w:basedOn w:val="TOCBase"/>
    <w:next w:val="Normal"/>
    <w:rsid w:val="001439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3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90D"/>
    <w:rPr>
      <w:rFonts w:ascii="Times New Roman" w:eastAsia="Times New Roman" w:hAnsi="Times New Roman" w:cs="Times New Roman"/>
      <w:sz w:val="16"/>
      <w:lang w:eastAsia="en-US"/>
    </w:rPr>
  </w:style>
  <w:style w:type="paragraph" w:styleId="Title">
    <w:name w:val="Title"/>
    <w:basedOn w:val="HeadingBase"/>
    <w:link w:val="TitleChar"/>
    <w:qFormat/>
    <w:rsid w:val="0014390D"/>
    <w:pPr>
      <w:spacing w:before="5040"/>
      <w:jc w:val="center"/>
    </w:pPr>
    <w:rPr>
      <w:sz w:val="48"/>
      <w:szCs w:val="72"/>
      <w:lang w:val="en-US"/>
    </w:rPr>
  </w:style>
  <w:style w:type="character" w:customStyle="1" w:styleId="TitleChar">
    <w:name w:val="Title Char"/>
    <w:basedOn w:val="DefaultParagraphFont"/>
    <w:link w:val="Title"/>
    <w:rsid w:val="00143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90D"/>
    <w:pPr>
      <w:tabs>
        <w:tab w:val="left" w:pos="3600"/>
        <w:tab w:val="left" w:pos="3958"/>
      </w:tabs>
    </w:pPr>
  </w:style>
  <w:style w:type="paragraph" w:styleId="List">
    <w:name w:val="List"/>
    <w:basedOn w:val="BodyText"/>
    <w:next w:val="BodyText"/>
    <w:rsid w:val="0014390D"/>
    <w:pPr>
      <w:tabs>
        <w:tab w:val="left" w:pos="340"/>
      </w:tabs>
      <w:spacing w:before="60" w:after="60"/>
      <w:ind w:left="340" w:hanging="340"/>
    </w:pPr>
  </w:style>
  <w:style w:type="paragraph" w:customStyle="1" w:styleId="Note">
    <w:name w:val="Note"/>
    <w:basedOn w:val="BodyText"/>
    <w:rsid w:val="00143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90D"/>
    <w:pPr>
      <w:framePr w:wrap="auto" w:hAnchor="text" w:y="6049"/>
    </w:pPr>
    <w:rPr>
      <w:color w:val="000000"/>
      <w:sz w:val="40"/>
    </w:rPr>
  </w:style>
  <w:style w:type="paragraph" w:customStyle="1" w:styleId="TOCTitle">
    <w:name w:val="TOCTitle"/>
    <w:basedOn w:val="Heading1"/>
    <w:rsid w:val="0014390D"/>
    <w:pPr>
      <w:spacing w:after="240"/>
      <w:jc w:val="center"/>
      <w:outlineLvl w:val="9"/>
    </w:pPr>
    <w:rPr>
      <w:caps/>
    </w:rPr>
  </w:style>
  <w:style w:type="paragraph" w:customStyle="1" w:styleId="Version">
    <w:name w:val="Version"/>
    <w:rsid w:val="001439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90D"/>
    <w:pPr>
      <w:keepNext w:val="0"/>
      <w:tabs>
        <w:tab w:val="right" w:pos="4176"/>
      </w:tabs>
      <w:ind w:left="198" w:hanging="198"/>
    </w:pPr>
    <w:rPr>
      <w:rFonts w:ascii="Garamond" w:hAnsi="Garamond"/>
    </w:rPr>
  </w:style>
  <w:style w:type="paragraph" w:styleId="IndexHeading">
    <w:name w:val="index heading"/>
    <w:basedOn w:val="Normal"/>
    <w:next w:val="Index1"/>
    <w:semiHidden/>
    <w:rsid w:val="0014390D"/>
    <w:pPr>
      <w:spacing w:before="120" w:after="120"/>
    </w:pPr>
    <w:rPr>
      <w:rFonts w:ascii="Arial" w:hAnsi="Arial"/>
      <w:b/>
      <w:color w:val="918585"/>
      <w:sz w:val="24"/>
    </w:rPr>
  </w:style>
  <w:style w:type="paragraph" w:styleId="Header">
    <w:name w:val="header"/>
    <w:basedOn w:val="Normal"/>
    <w:link w:val="HeaderChar"/>
    <w:rsid w:val="00143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90D"/>
    <w:rPr>
      <w:rFonts w:ascii="Times New Roman" w:eastAsia="Times New Roman" w:hAnsi="Times New Roman" w:cs="Times New Roman"/>
      <w:sz w:val="16"/>
      <w:szCs w:val="20"/>
      <w:lang w:val="en-GB" w:eastAsia="en-US"/>
    </w:rPr>
  </w:style>
  <w:style w:type="paragraph" w:customStyle="1" w:styleId="Chapter">
    <w:name w:val="Chapter"/>
    <w:basedOn w:val="Normal"/>
    <w:rsid w:val="0014390D"/>
    <w:pPr>
      <w:spacing w:before="240"/>
    </w:pPr>
    <w:rPr>
      <w:rFonts w:ascii="Times New Roman" w:hAnsi="Times New Roman"/>
      <w:smallCaps/>
      <w:spacing w:val="80"/>
      <w:sz w:val="28"/>
    </w:rPr>
  </w:style>
  <w:style w:type="paragraph" w:customStyle="1" w:styleId="InChapter">
    <w:name w:val="InChapter"/>
    <w:basedOn w:val="Heading3"/>
    <w:rsid w:val="0014390D"/>
    <w:pPr>
      <w:spacing w:after="240"/>
      <w:outlineLvl w:val="9"/>
    </w:pPr>
    <w:rPr>
      <w:noProof/>
    </w:rPr>
  </w:style>
  <w:style w:type="paragraph" w:styleId="Index2">
    <w:name w:val="index 2"/>
    <w:basedOn w:val="Normal"/>
    <w:next w:val="Normal"/>
    <w:semiHidden/>
    <w:rsid w:val="0014390D"/>
    <w:pPr>
      <w:tabs>
        <w:tab w:val="right" w:pos="4176"/>
      </w:tabs>
      <w:ind w:left="568" w:hanging="284"/>
    </w:pPr>
    <w:rPr>
      <w:rFonts w:ascii="Garamond" w:hAnsi="Garamond"/>
    </w:rPr>
  </w:style>
  <w:style w:type="paragraph" w:customStyle="1" w:styleId="Byline">
    <w:name w:val="Byline"/>
    <w:rsid w:val="00143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90D"/>
    <w:pPr>
      <w:tabs>
        <w:tab w:val="clear" w:pos="3600"/>
        <w:tab w:val="clear" w:pos="3958"/>
      </w:tabs>
      <w:jc w:val="right"/>
    </w:pPr>
  </w:style>
  <w:style w:type="paragraph" w:styleId="Caption">
    <w:name w:val="caption"/>
    <w:basedOn w:val="BodyText"/>
    <w:next w:val="Normal"/>
    <w:qFormat/>
    <w:rsid w:val="0014390D"/>
    <w:pPr>
      <w:framePr w:w="2268" w:hSpace="181" w:vSpace="181" w:wrap="around" w:vAnchor="text" w:hAnchor="page" w:x="1135" w:y="285" w:anchorLock="1"/>
    </w:pPr>
    <w:rPr>
      <w:i/>
    </w:rPr>
  </w:style>
  <w:style w:type="paragraph" w:customStyle="1" w:styleId="MiniTOCTitle">
    <w:name w:val="MiniTOCTitle"/>
    <w:basedOn w:val="Heading4"/>
    <w:rsid w:val="0014390D"/>
    <w:pPr>
      <w:spacing w:before="240"/>
      <w:outlineLvl w:val="9"/>
    </w:pPr>
    <w:rPr>
      <w:noProof/>
      <w:sz w:val="24"/>
    </w:rPr>
  </w:style>
  <w:style w:type="paragraph" w:customStyle="1" w:styleId="MiniTOCItem">
    <w:name w:val="MiniTOCItem"/>
    <w:basedOn w:val="ListBullet"/>
    <w:rsid w:val="0014390D"/>
    <w:pPr>
      <w:numPr>
        <w:numId w:val="0"/>
      </w:numPr>
      <w:tabs>
        <w:tab w:val="right" w:leader="dot" w:pos="6521"/>
      </w:tabs>
      <w:spacing w:before="0" w:after="0"/>
    </w:pPr>
  </w:style>
  <w:style w:type="paragraph" w:customStyle="1" w:styleId="TOFTitle">
    <w:name w:val="TOFTitle"/>
    <w:basedOn w:val="TOCTitle"/>
    <w:rsid w:val="0014390D"/>
  </w:style>
  <w:style w:type="paragraph" w:styleId="TableofFigures">
    <w:name w:val="table of figures"/>
    <w:basedOn w:val="Normal"/>
    <w:next w:val="Normal"/>
    <w:semiHidden/>
    <w:rsid w:val="0014390D"/>
    <w:pPr>
      <w:tabs>
        <w:tab w:val="right" w:leader="dot" w:pos="9072"/>
      </w:tabs>
      <w:ind w:left="970" w:hanging="403"/>
    </w:pPr>
    <w:rPr>
      <w:rFonts w:ascii="Times New Roman" w:hAnsi="Times New Roman"/>
      <w:b/>
    </w:rPr>
  </w:style>
  <w:style w:type="paragraph" w:styleId="ListNumber">
    <w:name w:val="List Number"/>
    <w:basedOn w:val="List"/>
    <w:rsid w:val="0014390D"/>
    <w:pPr>
      <w:numPr>
        <w:numId w:val="15"/>
      </w:numPr>
      <w:tabs>
        <w:tab w:val="clear" w:pos="340"/>
      </w:tabs>
    </w:pPr>
  </w:style>
  <w:style w:type="character" w:customStyle="1" w:styleId="WingdingSymbols">
    <w:name w:val="Wingding Symbols"/>
    <w:rsid w:val="0014390D"/>
    <w:rPr>
      <w:rFonts w:ascii="Wingdings" w:hAnsi="Wingdings"/>
    </w:rPr>
  </w:style>
  <w:style w:type="paragraph" w:customStyle="1" w:styleId="TableHeading">
    <w:name w:val="Table Heading"/>
    <w:basedOn w:val="HeadingBase"/>
    <w:rsid w:val="0014390D"/>
    <w:pPr>
      <w:keepLines/>
      <w:pBdr>
        <w:bottom w:val="single" w:sz="6" w:space="1" w:color="918585"/>
      </w:pBdr>
      <w:spacing w:before="240"/>
    </w:pPr>
  </w:style>
  <w:style w:type="character" w:customStyle="1" w:styleId="HotSpot">
    <w:name w:val="HotSpot"/>
    <w:rsid w:val="0014390D"/>
    <w:rPr>
      <w:color w:val="0033CC"/>
      <w:u w:val="none"/>
    </w:rPr>
  </w:style>
  <w:style w:type="paragraph" w:customStyle="1" w:styleId="BodyTextRight">
    <w:name w:val="Body Text Right"/>
    <w:basedOn w:val="BodyText"/>
    <w:rsid w:val="0014390D"/>
    <w:pPr>
      <w:spacing w:before="0" w:after="0"/>
      <w:jc w:val="right"/>
    </w:pPr>
  </w:style>
  <w:style w:type="paragraph" w:styleId="Index3">
    <w:name w:val="index 3"/>
    <w:basedOn w:val="ListNumber2"/>
    <w:next w:val="Normal"/>
    <w:semiHidden/>
    <w:rsid w:val="0014390D"/>
    <w:pPr>
      <w:numPr>
        <w:numId w:val="0"/>
      </w:numPr>
      <w:tabs>
        <w:tab w:val="right" w:leader="dot" w:pos="4176"/>
      </w:tabs>
    </w:pPr>
  </w:style>
  <w:style w:type="paragraph" w:styleId="ListNumber2">
    <w:name w:val="List Number 2"/>
    <w:basedOn w:val="List2"/>
    <w:rsid w:val="0014390D"/>
    <w:pPr>
      <w:numPr>
        <w:numId w:val="10"/>
      </w:numPr>
      <w:tabs>
        <w:tab w:val="clear" w:pos="1060"/>
      </w:tabs>
    </w:pPr>
  </w:style>
  <w:style w:type="paragraph" w:customStyle="1" w:styleId="MarginNote">
    <w:name w:val="Margin Note"/>
    <w:basedOn w:val="BodyText"/>
    <w:rsid w:val="00143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390D"/>
    <w:rPr>
      <w:sz w:val="32"/>
    </w:rPr>
  </w:style>
  <w:style w:type="paragraph" w:customStyle="1" w:styleId="HeadingProcedure">
    <w:name w:val="Heading Procedure"/>
    <w:basedOn w:val="HeadingBase"/>
    <w:next w:val="Normal"/>
    <w:rsid w:val="0014390D"/>
    <w:pPr>
      <w:tabs>
        <w:tab w:val="left" w:pos="0"/>
      </w:tabs>
      <w:spacing w:before="120" w:after="60"/>
    </w:pPr>
    <w:rPr>
      <w:i/>
      <w:color w:val="918585"/>
      <w:sz w:val="22"/>
    </w:rPr>
  </w:style>
  <w:style w:type="paragraph" w:customStyle="1" w:styleId="TableBodyText">
    <w:name w:val="Table Body Text"/>
    <w:basedOn w:val="BodyText"/>
    <w:rsid w:val="0014390D"/>
    <w:pPr>
      <w:spacing w:before="60" w:after="60"/>
    </w:pPr>
  </w:style>
  <w:style w:type="paragraph" w:styleId="ListContinue">
    <w:name w:val="List Continue"/>
    <w:basedOn w:val="List"/>
    <w:rsid w:val="0014390D"/>
    <w:pPr>
      <w:ind w:firstLine="0"/>
    </w:pPr>
  </w:style>
  <w:style w:type="paragraph" w:customStyle="1" w:styleId="ListNote">
    <w:name w:val="List Note"/>
    <w:basedOn w:val="List"/>
    <w:rsid w:val="0014390D"/>
    <w:pPr>
      <w:pBdr>
        <w:top w:val="single" w:sz="6" w:space="2" w:color="918585"/>
        <w:bottom w:val="single" w:sz="6" w:space="2" w:color="918585"/>
      </w:pBdr>
      <w:tabs>
        <w:tab w:val="left" w:pos="1021"/>
      </w:tabs>
      <w:ind w:firstLine="0"/>
    </w:pPr>
  </w:style>
  <w:style w:type="paragraph" w:customStyle="1" w:styleId="Warning">
    <w:name w:val="Warning"/>
    <w:basedOn w:val="BodyText"/>
    <w:rsid w:val="0014390D"/>
    <w:pPr>
      <w:shd w:val="clear" w:color="auto" w:fill="D9D9D9"/>
      <w:tabs>
        <w:tab w:val="left" w:pos="992"/>
      </w:tabs>
      <w:ind w:left="119" w:right="119"/>
    </w:pPr>
    <w:rPr>
      <w:sz w:val="20"/>
    </w:rPr>
  </w:style>
  <w:style w:type="paragraph" w:customStyle="1" w:styleId="MarginIcons">
    <w:name w:val="Margin Icons"/>
    <w:basedOn w:val="BodyText"/>
    <w:rsid w:val="00143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90D"/>
    <w:rPr>
      <w:rFonts w:ascii="Courier New" w:hAnsi="Courier New"/>
    </w:rPr>
  </w:style>
  <w:style w:type="paragraph" w:customStyle="1" w:styleId="NoteBullet">
    <w:name w:val="Note Bullet"/>
    <w:basedOn w:val="Note"/>
    <w:rsid w:val="0014390D"/>
    <w:pPr>
      <w:tabs>
        <w:tab w:val="clear" w:pos="680"/>
      </w:tabs>
      <w:spacing w:before="60" w:after="60"/>
    </w:pPr>
  </w:style>
  <w:style w:type="paragraph" w:customStyle="1" w:styleId="SubHeading2">
    <w:name w:val="SubHeading2"/>
    <w:basedOn w:val="HeadingBase"/>
    <w:rsid w:val="0014390D"/>
    <w:pPr>
      <w:spacing w:before="240" w:after="60"/>
    </w:pPr>
    <w:rPr>
      <w:sz w:val="20"/>
    </w:rPr>
  </w:style>
  <w:style w:type="paragraph" w:customStyle="1" w:styleId="SubHeading1">
    <w:name w:val="SubHeading1"/>
    <w:basedOn w:val="HeadingBase"/>
    <w:rsid w:val="0014390D"/>
    <w:pPr>
      <w:spacing w:before="240" w:after="60"/>
    </w:pPr>
    <w:rPr>
      <w:color w:val="918585"/>
      <w:sz w:val="22"/>
    </w:rPr>
  </w:style>
  <w:style w:type="paragraph" w:customStyle="1" w:styleId="SideHeading">
    <w:name w:val="Side Heading"/>
    <w:basedOn w:val="HeadingBase"/>
    <w:rsid w:val="00143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90D"/>
    <w:pPr>
      <w:tabs>
        <w:tab w:val="num" w:pos="360"/>
      </w:tabs>
    </w:pPr>
  </w:style>
  <w:style w:type="paragraph" w:styleId="PlainText">
    <w:name w:val="Plain Text"/>
    <w:basedOn w:val="Normal"/>
    <w:link w:val="PlainTextChar"/>
    <w:rsid w:val="0014390D"/>
    <w:rPr>
      <w:sz w:val="20"/>
    </w:rPr>
  </w:style>
  <w:style w:type="character" w:customStyle="1" w:styleId="PlainTextChar">
    <w:name w:val="Plain Text Char"/>
    <w:basedOn w:val="DefaultParagraphFont"/>
    <w:link w:val="PlainText"/>
    <w:rsid w:val="0014390D"/>
    <w:rPr>
      <w:rFonts w:ascii="Courier New" w:eastAsia="Times New Roman" w:hAnsi="Courier New" w:cs="Times New Roman"/>
      <w:sz w:val="20"/>
      <w:szCs w:val="20"/>
      <w:lang w:eastAsia="en-US"/>
    </w:rPr>
  </w:style>
  <w:style w:type="character" w:customStyle="1" w:styleId="MenuOption">
    <w:name w:val="Menu Option"/>
    <w:basedOn w:val="DefaultParagraphFont"/>
    <w:rsid w:val="0014390D"/>
    <w:rPr>
      <w:b/>
      <w:smallCaps/>
    </w:rPr>
  </w:style>
  <w:style w:type="paragraph" w:customStyle="1" w:styleId="TableListNumber">
    <w:name w:val="Table List Number"/>
    <w:basedOn w:val="ListNumber"/>
    <w:rsid w:val="0014390D"/>
    <w:pPr>
      <w:numPr>
        <w:numId w:val="0"/>
      </w:numPr>
    </w:pPr>
  </w:style>
  <w:style w:type="paragraph" w:styleId="TOC4">
    <w:name w:val="toc 4"/>
    <w:basedOn w:val="TOCBase"/>
    <w:next w:val="Normal"/>
    <w:semiHidden/>
    <w:rsid w:val="0014390D"/>
    <w:pPr>
      <w:tabs>
        <w:tab w:val="right" w:leader="dot" w:pos="9071"/>
      </w:tabs>
      <w:ind w:left="1701"/>
    </w:pPr>
  </w:style>
  <w:style w:type="paragraph" w:customStyle="1" w:styleId="ListAlpha">
    <w:name w:val="List Alpha"/>
    <w:basedOn w:val="List"/>
    <w:rsid w:val="0014390D"/>
    <w:pPr>
      <w:numPr>
        <w:numId w:val="9"/>
      </w:numPr>
    </w:pPr>
  </w:style>
  <w:style w:type="paragraph" w:customStyle="1" w:styleId="ListAlpha2">
    <w:name w:val="List Alpha 2"/>
    <w:basedOn w:val="List2"/>
    <w:rsid w:val="0014390D"/>
    <w:pPr>
      <w:numPr>
        <w:numId w:val="8"/>
      </w:numPr>
    </w:pPr>
  </w:style>
  <w:style w:type="paragraph" w:styleId="List2">
    <w:name w:val="List 2"/>
    <w:basedOn w:val="BodyText"/>
    <w:rsid w:val="0014390D"/>
    <w:pPr>
      <w:tabs>
        <w:tab w:val="left" w:pos="680"/>
      </w:tabs>
      <w:spacing w:before="60" w:after="60"/>
      <w:ind w:left="680" w:hanging="340"/>
    </w:pPr>
  </w:style>
  <w:style w:type="paragraph" w:styleId="List3">
    <w:name w:val="List 3"/>
    <w:basedOn w:val="BodyText"/>
    <w:rsid w:val="0014390D"/>
    <w:pPr>
      <w:tabs>
        <w:tab w:val="left" w:pos="1021"/>
      </w:tabs>
      <w:spacing w:before="60" w:after="60"/>
      <w:ind w:left="1020" w:hanging="340"/>
    </w:pPr>
  </w:style>
  <w:style w:type="paragraph" w:styleId="List4">
    <w:name w:val="List 4"/>
    <w:basedOn w:val="BodyText"/>
    <w:rsid w:val="0014390D"/>
    <w:pPr>
      <w:tabs>
        <w:tab w:val="left" w:pos="1361"/>
      </w:tabs>
      <w:spacing w:before="60" w:after="60"/>
      <w:ind w:left="1361" w:hanging="340"/>
    </w:pPr>
  </w:style>
  <w:style w:type="paragraph" w:styleId="List5">
    <w:name w:val="List 5"/>
    <w:basedOn w:val="BodyText"/>
    <w:rsid w:val="0014390D"/>
    <w:pPr>
      <w:tabs>
        <w:tab w:val="left" w:pos="1701"/>
      </w:tabs>
      <w:spacing w:before="60" w:after="60"/>
      <w:ind w:left="1701" w:hanging="340"/>
    </w:pPr>
  </w:style>
  <w:style w:type="paragraph" w:styleId="ListBullet3">
    <w:name w:val="List Bullet 3"/>
    <w:basedOn w:val="List3"/>
    <w:rsid w:val="0014390D"/>
    <w:pPr>
      <w:numPr>
        <w:numId w:val="14"/>
      </w:numPr>
      <w:tabs>
        <w:tab w:val="clear" w:pos="1021"/>
      </w:tabs>
      <w:ind w:left="1037" w:hanging="357"/>
    </w:pPr>
  </w:style>
  <w:style w:type="paragraph" w:styleId="ListBullet4">
    <w:name w:val="List Bullet 4"/>
    <w:basedOn w:val="List4"/>
    <w:rsid w:val="0014390D"/>
    <w:pPr>
      <w:numPr>
        <w:numId w:val="3"/>
      </w:numPr>
      <w:tabs>
        <w:tab w:val="clear" w:pos="1361"/>
      </w:tabs>
    </w:pPr>
  </w:style>
  <w:style w:type="paragraph" w:styleId="ListBullet5">
    <w:name w:val="List Bullet 5"/>
    <w:basedOn w:val="List5"/>
    <w:rsid w:val="0014390D"/>
    <w:pPr>
      <w:numPr>
        <w:numId w:val="4"/>
      </w:numPr>
    </w:pPr>
  </w:style>
  <w:style w:type="paragraph" w:styleId="ListContinue2">
    <w:name w:val="List Continue 2"/>
    <w:basedOn w:val="List2"/>
    <w:rsid w:val="0014390D"/>
    <w:pPr>
      <w:ind w:firstLine="0"/>
    </w:pPr>
  </w:style>
  <w:style w:type="paragraph" w:styleId="ListContinue3">
    <w:name w:val="List Continue 3"/>
    <w:basedOn w:val="List3"/>
    <w:rsid w:val="0014390D"/>
    <w:pPr>
      <w:ind w:left="1021" w:firstLine="0"/>
    </w:pPr>
  </w:style>
  <w:style w:type="paragraph" w:styleId="ListContinue4">
    <w:name w:val="List Continue 4"/>
    <w:basedOn w:val="List4"/>
    <w:rsid w:val="0014390D"/>
    <w:pPr>
      <w:ind w:firstLine="0"/>
    </w:pPr>
  </w:style>
  <w:style w:type="paragraph" w:styleId="ListContinue5">
    <w:name w:val="List Continue 5"/>
    <w:basedOn w:val="List5"/>
    <w:rsid w:val="0014390D"/>
    <w:pPr>
      <w:ind w:firstLine="0"/>
    </w:pPr>
  </w:style>
  <w:style w:type="paragraph" w:styleId="ListNumber3">
    <w:name w:val="List Number 3"/>
    <w:basedOn w:val="List3"/>
    <w:rsid w:val="0014390D"/>
    <w:pPr>
      <w:numPr>
        <w:numId w:val="5"/>
      </w:numPr>
    </w:pPr>
  </w:style>
  <w:style w:type="paragraph" w:styleId="ListNumber4">
    <w:name w:val="List Number 4"/>
    <w:basedOn w:val="List4"/>
    <w:rsid w:val="0014390D"/>
    <w:pPr>
      <w:numPr>
        <w:numId w:val="6"/>
      </w:numPr>
    </w:pPr>
  </w:style>
  <w:style w:type="paragraph" w:styleId="ListNumber5">
    <w:name w:val="List Number 5"/>
    <w:basedOn w:val="List5"/>
    <w:rsid w:val="0014390D"/>
    <w:pPr>
      <w:numPr>
        <w:numId w:val="7"/>
      </w:numPr>
    </w:pPr>
  </w:style>
  <w:style w:type="paragraph" w:styleId="BlockText">
    <w:name w:val="Block Text"/>
    <w:basedOn w:val="Normal"/>
    <w:rsid w:val="0014390D"/>
    <w:pPr>
      <w:spacing w:after="120"/>
      <w:ind w:left="1440" w:right="1440"/>
    </w:pPr>
  </w:style>
  <w:style w:type="character" w:customStyle="1" w:styleId="Subscript">
    <w:name w:val="Subscript"/>
    <w:basedOn w:val="DefaultParagraphFont"/>
    <w:rsid w:val="0014390D"/>
    <w:rPr>
      <w:sz w:val="16"/>
      <w:vertAlign w:val="subscript"/>
    </w:rPr>
  </w:style>
  <w:style w:type="character" w:customStyle="1" w:styleId="Superscript">
    <w:name w:val="Superscript"/>
    <w:basedOn w:val="DefaultParagraphFont"/>
    <w:rsid w:val="0014390D"/>
    <w:rPr>
      <w:sz w:val="16"/>
      <w:vertAlign w:val="superscript"/>
    </w:rPr>
  </w:style>
  <w:style w:type="character" w:customStyle="1" w:styleId="Symbols">
    <w:name w:val="Symbols"/>
    <w:basedOn w:val="DefaultParagraphFont"/>
    <w:rsid w:val="0014390D"/>
    <w:rPr>
      <w:rFonts w:ascii="Symbol" w:hAnsi="Symbol"/>
    </w:rPr>
  </w:style>
  <w:style w:type="character" w:customStyle="1" w:styleId="MenuOptions">
    <w:name w:val="Menu Options"/>
    <w:basedOn w:val="DefaultParagraphFont"/>
    <w:rsid w:val="0014390D"/>
    <w:rPr>
      <w:rFonts w:ascii="Arial Narrow" w:hAnsi="Arial Narrow"/>
      <w:smallCaps/>
    </w:rPr>
  </w:style>
  <w:style w:type="character" w:customStyle="1" w:styleId="Buttons">
    <w:name w:val="Buttons"/>
    <w:basedOn w:val="DefaultParagraphFont"/>
    <w:rsid w:val="0014390D"/>
    <w:rPr>
      <w:b/>
    </w:rPr>
  </w:style>
  <w:style w:type="character" w:customStyle="1" w:styleId="Underlined">
    <w:name w:val="Underlined"/>
    <w:basedOn w:val="DefaultParagraphFont"/>
    <w:rsid w:val="0014390D"/>
    <w:rPr>
      <w:u w:val="single"/>
    </w:rPr>
  </w:style>
  <w:style w:type="paragraph" w:customStyle="1" w:styleId="TableBodyTextRight">
    <w:name w:val="Table Body Text Right"/>
    <w:basedOn w:val="TableBodyText"/>
    <w:rsid w:val="0014390D"/>
    <w:pPr>
      <w:widowControl w:val="0"/>
      <w:autoSpaceDE w:val="0"/>
      <w:autoSpaceDN w:val="0"/>
      <w:adjustRightInd w:val="0"/>
      <w:jc w:val="right"/>
    </w:pPr>
    <w:rPr>
      <w:rFonts w:cs="Arial"/>
      <w:szCs w:val="18"/>
    </w:rPr>
  </w:style>
  <w:style w:type="paragraph" w:customStyle="1" w:styleId="CopyrightText">
    <w:name w:val="Copyright Text"/>
    <w:basedOn w:val="BodyText"/>
    <w:rsid w:val="0014390D"/>
    <w:rPr>
      <w:sz w:val="18"/>
    </w:rPr>
  </w:style>
  <w:style w:type="paragraph" w:customStyle="1" w:styleId="BodySmallRight">
    <w:name w:val="Body Small Right"/>
    <w:basedOn w:val="BodyTextRight"/>
    <w:rsid w:val="0014390D"/>
    <w:rPr>
      <w:sz w:val="18"/>
      <w:szCs w:val="18"/>
    </w:rPr>
  </w:style>
  <w:style w:type="paragraph" w:customStyle="1" w:styleId="MarginEdition">
    <w:name w:val="Margin Edition"/>
    <w:basedOn w:val="MarginNote"/>
    <w:rsid w:val="0014390D"/>
    <w:pPr>
      <w:spacing w:before="0" w:after="0"/>
    </w:pPr>
    <w:rPr>
      <w:rFonts w:ascii="Times New Roman" w:hAnsi="Times New Roman"/>
      <w:color w:val="999999"/>
    </w:rPr>
  </w:style>
  <w:style w:type="paragraph" w:customStyle="1" w:styleId="Spacer">
    <w:name w:val="Spacer"/>
    <w:basedOn w:val="Normal"/>
    <w:rsid w:val="0014390D"/>
    <w:rPr>
      <w:sz w:val="2"/>
      <w:szCs w:val="2"/>
    </w:rPr>
  </w:style>
  <w:style w:type="character" w:customStyle="1" w:styleId="Small">
    <w:name w:val="Small"/>
    <w:basedOn w:val="DefaultParagraphFont"/>
    <w:rsid w:val="0014390D"/>
    <w:rPr>
      <w:sz w:val="16"/>
    </w:rPr>
  </w:style>
  <w:style w:type="paragraph" w:customStyle="1" w:styleId="WideTable">
    <w:name w:val="Wide Table"/>
    <w:basedOn w:val="Normal"/>
    <w:rsid w:val="0014390D"/>
    <w:pPr>
      <w:ind w:left="-1418"/>
    </w:pPr>
    <w:rPr>
      <w:sz w:val="2"/>
      <w:szCs w:val="2"/>
    </w:rPr>
  </w:style>
  <w:style w:type="character" w:styleId="PageNumber">
    <w:name w:val="page number"/>
    <w:basedOn w:val="DefaultParagraphFont"/>
    <w:rsid w:val="0014390D"/>
  </w:style>
  <w:style w:type="paragraph" w:styleId="Quote">
    <w:name w:val="Quote"/>
    <w:basedOn w:val="Heading1"/>
    <w:link w:val="QuoteChar"/>
    <w:qFormat/>
    <w:rsid w:val="0014390D"/>
    <w:rPr>
      <w:b w:val="0"/>
      <w:sz w:val="72"/>
      <w:szCs w:val="72"/>
      <w:lang w:val="en-NZ"/>
    </w:rPr>
  </w:style>
  <w:style w:type="character" w:customStyle="1" w:styleId="QuoteChar">
    <w:name w:val="Quote Char"/>
    <w:basedOn w:val="DefaultParagraphFont"/>
    <w:link w:val="Quote"/>
    <w:rsid w:val="00143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90D"/>
    <w:pPr>
      <w:pageBreakBefore/>
    </w:pPr>
  </w:style>
  <w:style w:type="paragraph" w:customStyle="1" w:styleId="Border">
    <w:name w:val="Border"/>
    <w:basedOn w:val="Normal"/>
    <w:qFormat/>
    <w:rsid w:val="00143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90D"/>
    <w:rPr>
      <w:b/>
      <w:bCs/>
      <w:i/>
      <w:iCs/>
      <w:color w:val="auto"/>
    </w:rPr>
  </w:style>
  <w:style w:type="paragraph" w:styleId="IntenseQuote">
    <w:name w:val="Intense Quote"/>
    <w:basedOn w:val="Normal"/>
    <w:next w:val="Normal"/>
    <w:link w:val="IntenseQuoteChar"/>
    <w:uiPriority w:val="30"/>
    <w:qFormat/>
    <w:rsid w:val="00143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390D"/>
    <w:rPr>
      <w:smallCaps/>
      <w:color w:val="auto"/>
      <w:u w:val="single"/>
    </w:rPr>
  </w:style>
  <w:style w:type="character" w:styleId="IntenseReference">
    <w:name w:val="Intense Reference"/>
    <w:basedOn w:val="DefaultParagraphFont"/>
    <w:uiPriority w:val="32"/>
    <w:qFormat/>
    <w:rsid w:val="0014390D"/>
    <w:rPr>
      <w:b/>
      <w:bCs/>
      <w:smallCaps/>
      <w:color w:val="auto"/>
      <w:spacing w:val="5"/>
      <w:u w:val="single"/>
    </w:rPr>
  </w:style>
  <w:style w:type="paragraph" w:customStyle="1" w:styleId="2ColumnHeading">
    <w:name w:val="2Column Heading"/>
    <w:basedOn w:val="BodyText"/>
    <w:qFormat/>
    <w:rsid w:val="0014390D"/>
    <w:pPr>
      <w:spacing w:after="60"/>
      <w:ind w:left="-2268"/>
    </w:pPr>
    <w:rPr>
      <w:b/>
    </w:rPr>
  </w:style>
  <w:style w:type="paragraph" w:customStyle="1" w:styleId="Heading1TOC">
    <w:name w:val="Heading1 TOC"/>
    <w:basedOn w:val="Normal"/>
    <w:qFormat/>
    <w:rsid w:val="0014390D"/>
    <w:pPr>
      <w:spacing w:before="240" w:after="120"/>
    </w:pPr>
    <w:rPr>
      <w:rFonts w:ascii="Times New Roman" w:hAnsi="Times New Roman"/>
      <w:b/>
      <w:sz w:val="32"/>
    </w:rPr>
  </w:style>
  <w:style w:type="paragraph" w:customStyle="1" w:styleId="Heading2TOC">
    <w:name w:val="Heading2 TOC"/>
    <w:basedOn w:val="Normal"/>
    <w:qFormat/>
    <w:rsid w:val="0014390D"/>
    <w:pPr>
      <w:spacing w:before="240" w:after="60"/>
    </w:pPr>
    <w:rPr>
      <w:rFonts w:ascii="Times New Roman" w:hAnsi="Times New Roman"/>
      <w:b/>
      <w:sz w:val="28"/>
    </w:rPr>
  </w:style>
  <w:style w:type="character" w:customStyle="1" w:styleId="Underline">
    <w:name w:val="Underline"/>
    <w:basedOn w:val="DefaultParagraphFont"/>
    <w:qFormat/>
    <w:rsid w:val="0014390D"/>
    <w:rPr>
      <w:u w:val="single"/>
    </w:rPr>
  </w:style>
  <w:style w:type="character" w:customStyle="1" w:styleId="BoldandItalics">
    <w:name w:val="Bold and Italics"/>
    <w:qFormat/>
    <w:rsid w:val="0014390D"/>
    <w:rPr>
      <w:b/>
      <w:i/>
      <w:u w:val="none"/>
    </w:rPr>
  </w:style>
  <w:style w:type="paragraph" w:styleId="BalloonText">
    <w:name w:val="Balloon Text"/>
    <w:basedOn w:val="Normal"/>
    <w:link w:val="BalloonTextChar"/>
    <w:rsid w:val="0014390D"/>
    <w:rPr>
      <w:rFonts w:ascii="Tahoma" w:hAnsi="Tahoma" w:cs="Tahoma"/>
      <w:sz w:val="16"/>
      <w:szCs w:val="16"/>
    </w:rPr>
  </w:style>
  <w:style w:type="character" w:customStyle="1" w:styleId="BalloonTextChar">
    <w:name w:val="Balloon Text Char"/>
    <w:basedOn w:val="DefaultParagraphFont"/>
    <w:link w:val="BalloonText"/>
    <w:rsid w:val="00143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39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3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390D"/>
    <w:rPr>
      <w:b/>
      <w:color w:val="660033"/>
      <w:spacing w:val="0"/>
    </w:rPr>
  </w:style>
  <w:style w:type="paragraph" w:customStyle="1" w:styleId="Nameditemlist">
    <w:name w:val="Named item list"/>
    <w:basedOn w:val="BodyText"/>
    <w:qFormat/>
    <w:rsid w:val="0014390D"/>
    <w:pPr>
      <w:tabs>
        <w:tab w:val="left" w:pos="2835"/>
      </w:tabs>
      <w:ind w:left="2835" w:hanging="2835"/>
    </w:pPr>
  </w:style>
  <w:style w:type="paragraph" w:customStyle="1" w:styleId="BodyTextnopadding">
    <w:name w:val="Body Text no padding"/>
    <w:basedOn w:val="BodyText"/>
    <w:qFormat/>
    <w:rsid w:val="0014390D"/>
    <w:pPr>
      <w:spacing w:before="0" w:after="0"/>
    </w:pPr>
  </w:style>
  <w:style w:type="paragraph" w:customStyle="1" w:styleId="BodyTextBold">
    <w:name w:val="Body Text Bold"/>
    <w:basedOn w:val="BodyText"/>
    <w:qFormat/>
    <w:rsid w:val="0014390D"/>
    <w:rPr>
      <w:b/>
    </w:rPr>
  </w:style>
  <w:style w:type="character" w:styleId="Hyperlink">
    <w:name w:val="Hyperlink"/>
    <w:basedOn w:val="DefaultParagraphFont"/>
    <w:uiPriority w:val="99"/>
    <w:unhideWhenUsed/>
    <w:rsid w:val="00674B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8433</Characters>
  <Application>Microsoft Office Word</Application>
  <DocSecurity>0</DocSecurity>
  <Lines>272</Lines>
  <Paragraphs>209</Paragraphs>
  <ScaleCrop>false</ScaleCrop>
  <Company>Author-it Software Corporation Ltd.</Company>
  <LinksUpToDate>false</LinksUpToDate>
  <CharactersWithSpaces>9420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HLTANA007 Monitor medications in the anaesthetic environment</dc:title>
  <dc:subject>Approved</dc:subject>
  <dc:creator>HumanAbility</dc:creator>
  <cp:keywords>Release: 1</cp:keywords>
  <dc:description>Review Date: 12 April 2008</dc:description>
  <cp:lastModifiedBy>HSD_TPCMSd.prod</cp:lastModifiedBy>
  <cp:revision>3</cp:revision>
  <dcterms:created xsi:type="dcterms:W3CDTF">2025-03-01T08:49:00Z</dcterms:created>
  <dcterms:modified xsi:type="dcterms:W3CDTF">2025-03-01T08:49:00Z</dcterms:modified>
</cp:coreProperties>
</file>