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AAA" w:rsidP="00D36AAA">
      <w:pPr>
        <w:pStyle w:val="Title"/>
      </w:pPr>
      <w:r>
        <w:fldChar w:fldCharType="begin"/>
      </w:r>
      <w:r>
        <w:instrText xml:space="preserve"> TITLE   \* MERGEFORMAT </w:instrText>
      </w:r>
      <w:r>
        <w:fldChar w:fldCharType="separate"/>
      </w:r>
      <w:r>
        <w:t>Assessment Requirements for HLTANA007 Monitor medications in the anaesthetic environment</w:t>
      </w:r>
      <w:r>
        <w:fldChar w:fldCharType="end"/>
      </w:r>
    </w:p>
    <w:p w:rsidR="00D36AAA" w:rsidP="00D36AAA">
      <w:pPr>
        <w:pStyle w:val="Version"/>
        <w:sectPr w:rsidSect="004278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81A" w:rsidP="0042781A">
      <w:pPr>
        <w:pStyle w:val="SuperHeading"/>
      </w:pPr>
      <w:r w:rsidRPr="0042781A">
        <w:t>Assessment Requirements for HLTANA007 Monitor medications in the anaesthetic environment</w:t>
      </w:r>
    </w:p>
    <w:p w:rsidR="00000000" w:rsidRPr="0042781A" w:rsidP="0042781A">
      <w:pPr>
        <w:pStyle w:val="Heading1"/>
      </w:pPr>
      <w:bookmarkStart w:id="1" w:name="O_742219"/>
      <w:bookmarkEnd w:id="1"/>
      <w:r w:rsidRPr="0042781A">
        <w:t>Modification History</w:t>
      </w:r>
    </w:p>
    <w:tbl>
      <w:tblPr>
        <w:tblW w:w="0" w:type="auto"/>
        <w:tblLayout w:type="fixed"/>
        <w:tblCellMar>
          <w:left w:w="62" w:type="dxa"/>
          <w:right w:w="62" w:type="dxa"/>
        </w:tblCellMar>
        <w:tblLook w:val="0000"/>
      </w:tblPr>
      <w:tblGrid>
        <w:gridCol w:w="2790"/>
        <w:gridCol w:w="6344"/>
      </w:tblGrid>
      <w:tr w:rsidTr="0042781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81A" w:rsidP="0042781A">
            <w:pPr>
              <w:pStyle w:val="BodyText"/>
            </w:pPr>
            <w:r w:rsidRPr="0042781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81A">
            <w:pPr>
              <w:pStyle w:val="BodyText"/>
              <w:rPr>
                <w:lang w:val="en-NZ"/>
              </w:rPr>
            </w:pPr>
            <w:r w:rsidRPr="0042781A">
              <w:rPr>
                <w:rStyle w:val="SpecialBold"/>
              </w:rPr>
              <w:t>Comments</w:t>
            </w:r>
          </w:p>
        </w:tc>
      </w:tr>
      <w:tr w:rsidTr="0042781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81A">
            <w:pPr>
              <w:pStyle w:val="BodyText"/>
              <w:rPr>
                <w:lang w:val="en-NZ"/>
              </w:rPr>
            </w:pPr>
            <w:r w:rsidRPr="0042781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81A" w:rsidP="0042781A">
            <w:pPr>
              <w:pStyle w:val="BodyText"/>
            </w:pPr>
            <w:r w:rsidRPr="0042781A">
              <w:t xml:space="preserve">This version was released in </w:t>
            </w:r>
            <w:r w:rsidRPr="0042781A">
              <w:rPr>
                <w:rStyle w:val="Emphasis"/>
              </w:rPr>
              <w:t>HLT Health Training Package release 2.0</w:t>
            </w:r>
            <w:r w:rsidRPr="0042781A">
              <w:t xml:space="preserve"> and meets the requirements of the 2012 Standards for Training Packages.</w:t>
            </w:r>
          </w:p>
          <w:p w:rsidR="00000000" w:rsidRPr="0042781A" w:rsidP="0042781A">
            <w:pPr>
              <w:pStyle w:val="BodyText"/>
            </w:pPr>
            <w:r w:rsidRPr="0042781A">
              <w:t>Significant changes to the elements and performance criteria. New evidence requirements for assessment, including volume and frequency requirements. Significant change to knowledge ev</w:t>
            </w:r>
            <w:r w:rsidRPr="0042781A">
              <w:t>idence.</w:t>
            </w:r>
          </w:p>
        </w:tc>
      </w:tr>
    </w:tbl>
    <w:p w:rsidR="00D36AAA" w:rsidP="0042781A">
      <w:pPr>
        <w:pStyle w:val="BodyText"/>
      </w:pPr>
    </w:p>
    <w:p w:rsidR="00D36AAA" w:rsidP="0042781A">
      <w:pPr>
        <w:pStyle w:val="BodyText"/>
      </w:pPr>
    </w:p>
    <w:p w:rsidR="00000000" w:rsidRPr="0042781A" w:rsidP="0042781A">
      <w:pPr>
        <w:pStyle w:val="Heading1"/>
      </w:pPr>
      <w:bookmarkStart w:id="2" w:name="O_742220"/>
      <w:bookmarkEnd w:id="2"/>
      <w:r w:rsidRPr="0042781A">
        <w:t>Performance Evidence</w:t>
      </w:r>
    </w:p>
    <w:p w:rsidR="00000000" w:rsidRPr="0042781A" w:rsidP="00D36AAA">
      <w:pPr>
        <w:pStyle w:val="BodyText"/>
      </w:pPr>
      <w:r w:rsidRPr="0042781A">
        <w:t xml:space="preserve">The candidate must show evidence of the ability to complete tasks outlined in elements and performance criteria of this unit, manage tasks and manage contingencies in the context of the job role. There must </w:t>
      </w:r>
      <w:r w:rsidRPr="0042781A">
        <w:t>be evidence that the candidate has:</w:t>
      </w:r>
    </w:p>
    <w:p w:rsidR="00000000" w:rsidRPr="0042781A" w:rsidP="0042781A">
      <w:pPr>
        <w:pStyle w:val="ListBullet"/>
      </w:pPr>
      <w:r w:rsidRPr="0042781A">
        <w:t>accessed, prepared and monitored medications, fluids, blood and blood products in accordance with legislation and the organisation’s medication and delegation policies and practice under the supervision of a health prof</w:t>
      </w:r>
      <w:r w:rsidRPr="0042781A">
        <w:t>essional on at least 10 different occasions</w:t>
      </w:r>
    </w:p>
    <w:p w:rsidR="00000000" w:rsidRPr="0042781A" w:rsidP="0042781A">
      <w:pPr>
        <w:pStyle w:val="ListBullet"/>
      </w:pPr>
      <w:r w:rsidRPr="0042781A">
        <w:t>administered crystalloids, colloids, blood &amp; blood products</w:t>
      </w:r>
    </w:p>
    <w:p w:rsidR="00000000" w:rsidRPr="0042781A" w:rsidP="0042781A">
      <w:pPr>
        <w:pStyle w:val="ListBullet"/>
      </w:pPr>
      <w:r w:rsidRPr="0042781A">
        <w:t>programmed infusion devices at least twice</w:t>
      </w:r>
    </w:p>
    <w:p w:rsidR="00000000" w:rsidRPr="0042781A" w:rsidP="0042781A">
      <w:pPr>
        <w:pStyle w:val="ListBullet"/>
      </w:pPr>
      <w:r w:rsidRPr="0042781A">
        <w:t>set up rapid infusion device at least twice</w:t>
      </w:r>
    </w:p>
    <w:p w:rsidR="00000000" w:rsidRPr="0042781A" w:rsidP="0042781A">
      <w:pPr>
        <w:pStyle w:val="ListBullet"/>
      </w:pPr>
      <w:r w:rsidRPr="0042781A">
        <w:t>prepared drugs for administration via each of the following routes at least twice:</w:t>
      </w:r>
    </w:p>
    <w:p w:rsidR="00000000" w:rsidRPr="0042781A" w:rsidP="0042781A">
      <w:pPr>
        <w:pStyle w:val="ListBullet2"/>
      </w:pPr>
      <w:r w:rsidRPr="0042781A">
        <w:t xml:space="preserve">inhalational </w:t>
      </w:r>
    </w:p>
    <w:p w:rsidR="00000000" w:rsidRPr="0042781A" w:rsidP="0042781A">
      <w:pPr>
        <w:pStyle w:val="ListBullet2"/>
      </w:pPr>
      <w:r w:rsidRPr="0042781A">
        <w:t xml:space="preserve">intravenous </w:t>
      </w:r>
    </w:p>
    <w:p w:rsidR="00000000" w:rsidRPr="0042781A" w:rsidP="0042781A">
      <w:pPr>
        <w:pStyle w:val="ListBullet2"/>
      </w:pPr>
      <w:r w:rsidRPr="0042781A">
        <w:t>intramuscular</w:t>
      </w:r>
    </w:p>
    <w:p w:rsidR="00000000" w:rsidRPr="0042781A" w:rsidP="0042781A">
      <w:pPr>
        <w:pStyle w:val="ListBullet2"/>
      </w:pPr>
      <w:r w:rsidRPr="0042781A">
        <w:t>oral</w:t>
      </w:r>
    </w:p>
    <w:p w:rsidR="00000000" w:rsidRPr="0042781A" w:rsidP="0042781A">
      <w:pPr>
        <w:pStyle w:val="ListBullet2"/>
      </w:pPr>
      <w:r w:rsidRPr="0042781A">
        <w:t>subcutaneous</w:t>
      </w:r>
    </w:p>
    <w:p w:rsidR="00000000" w:rsidRPr="0042781A" w:rsidP="0042781A">
      <w:pPr>
        <w:pStyle w:val="ListBullet2"/>
      </w:pPr>
      <w:r w:rsidRPr="0042781A">
        <w:t>topical</w:t>
      </w:r>
    </w:p>
    <w:p w:rsidR="00000000" w:rsidRPr="0042781A" w:rsidP="0042781A">
      <w:pPr>
        <w:pStyle w:val="AllowPageBreak"/>
      </w:pPr>
    </w:p>
    <w:p w:rsidR="00000000" w:rsidRPr="0042781A" w:rsidP="0042781A">
      <w:pPr>
        <w:pStyle w:val="Heading1"/>
      </w:pPr>
      <w:bookmarkStart w:id="3" w:name="O_742221"/>
      <w:bookmarkEnd w:id="3"/>
      <w:r w:rsidRPr="0042781A">
        <w:t>Knowledge Evidence</w:t>
      </w:r>
    </w:p>
    <w:p w:rsidR="00000000" w:rsidRPr="0042781A" w:rsidP="00D36AAA">
      <w:pPr>
        <w:pStyle w:val="BodyText"/>
      </w:pPr>
      <w:r w:rsidRPr="0042781A">
        <w:t>The candidate must be able to demonstrate essential knowledge require</w:t>
      </w:r>
      <w:r w:rsidRPr="0042781A">
        <w:t>d to effectively complete tasks outlined in elements and performance criteria of this unit, manage tasks and manage contingencies in the context of the work role. This includes knowledge of:</w:t>
      </w:r>
    </w:p>
    <w:p w:rsidR="00000000" w:rsidRPr="0042781A" w:rsidP="0042781A">
      <w:pPr>
        <w:pStyle w:val="ListBullet"/>
      </w:pPr>
      <w:r w:rsidRPr="0042781A">
        <w:t>legal and ethical considerations (national, state/territory) for</w:t>
      </w:r>
      <w:r w:rsidRPr="0042781A">
        <w:t xml:space="preserve"> the handling and administration of medications, and how these are applied in organisations:</w:t>
      </w:r>
    </w:p>
    <w:p w:rsidR="00000000" w:rsidRPr="0042781A" w:rsidP="0042781A">
      <w:pPr>
        <w:pStyle w:val="ListBullet2"/>
      </w:pPr>
      <w:r w:rsidRPr="0042781A">
        <w:t>approved drug and fluid abbreviations</w:t>
      </w:r>
    </w:p>
    <w:p w:rsidR="00000000" w:rsidRPr="0042781A" w:rsidP="0042781A">
      <w:pPr>
        <w:pStyle w:val="ListBullet2"/>
      </w:pPr>
      <w:r w:rsidRPr="0042781A">
        <w:t>Australian and New Zealand scheduling for drugs and poisons</w:t>
      </w:r>
    </w:p>
    <w:p w:rsidR="00000000" w:rsidRPr="0042781A" w:rsidP="0042781A">
      <w:pPr>
        <w:pStyle w:val="ListBullet2"/>
      </w:pPr>
      <w:r w:rsidRPr="0042781A">
        <w:t>Australian and New Zealand Society of Blood Transfusion guidelines (ANZSBT)</w:t>
      </w:r>
    </w:p>
    <w:p w:rsidR="00000000" w:rsidRPr="0042781A" w:rsidP="0042781A">
      <w:pPr>
        <w:pStyle w:val="ListBullet2"/>
      </w:pPr>
      <w:r w:rsidRPr="0042781A">
        <w:t>codes of practice</w:t>
      </w:r>
    </w:p>
    <w:p w:rsidR="00000000" w:rsidRPr="0042781A" w:rsidP="0042781A">
      <w:pPr>
        <w:pStyle w:val="ListBullet2"/>
      </w:pPr>
      <w:r w:rsidRPr="0042781A">
        <w:t>records management requirements</w:t>
      </w:r>
    </w:p>
    <w:p w:rsidR="00000000" w:rsidRPr="0042781A" w:rsidP="0042781A">
      <w:pPr>
        <w:pStyle w:val="ListBullet2"/>
      </w:pPr>
      <w:r w:rsidRPr="0042781A">
        <w:t>storage</w:t>
      </w:r>
    </w:p>
    <w:p w:rsidR="00000000" w:rsidRPr="0042781A" w:rsidP="0042781A">
      <w:pPr>
        <w:pStyle w:val="ListBullet2"/>
      </w:pPr>
      <w:r w:rsidRPr="0042781A">
        <w:t>work role boundaries – responsibilities and limitations</w:t>
      </w:r>
    </w:p>
    <w:p w:rsidR="00000000" w:rsidRPr="0042781A" w:rsidP="0042781A">
      <w:pPr>
        <w:pStyle w:val="ListBullet2"/>
      </w:pPr>
      <w:r w:rsidRPr="0042781A">
        <w:t>rights and responsibilities of workers, employers and clients</w:t>
      </w:r>
    </w:p>
    <w:p w:rsidR="00000000" w:rsidRPr="0042781A" w:rsidP="0042781A">
      <w:pPr>
        <w:pStyle w:val="ListBullet2"/>
      </w:pPr>
      <w:r w:rsidRPr="0042781A">
        <w:t>work</w:t>
      </w:r>
      <w:r w:rsidRPr="0042781A">
        <w:t xml:space="preserve"> health and safety (WHS)</w:t>
      </w:r>
    </w:p>
    <w:p w:rsidR="00000000" w:rsidRPr="0042781A" w:rsidP="0042781A">
      <w:pPr>
        <w:pStyle w:val="ListBullet"/>
      </w:pPr>
      <w:r w:rsidRPr="0042781A">
        <w:t>pharmacology for drugs commonly used in anaesthesia, including:</w:t>
      </w:r>
    </w:p>
    <w:p w:rsidR="00000000" w:rsidRPr="0042781A" w:rsidP="0042781A">
      <w:pPr>
        <w:pStyle w:val="ListBullet2"/>
      </w:pPr>
      <w:r w:rsidRPr="0042781A">
        <w:t>sources of drugs (natural/endorphins/synthetic)</w:t>
      </w:r>
    </w:p>
    <w:p w:rsidR="00000000" w:rsidRPr="0042781A" w:rsidP="0042781A">
      <w:pPr>
        <w:pStyle w:val="ListBullet2"/>
      </w:pPr>
      <w:r w:rsidRPr="0042781A">
        <w:t>drug nomenclature (chemical/generic/brand names)</w:t>
      </w:r>
    </w:p>
    <w:p w:rsidR="00000000" w:rsidRPr="0042781A" w:rsidP="0042781A">
      <w:pPr>
        <w:pStyle w:val="ListBullet2"/>
      </w:pPr>
      <w:r w:rsidRPr="0042781A">
        <w:t>drug classifications</w:t>
      </w:r>
    </w:p>
    <w:p w:rsidR="00000000" w:rsidRPr="0042781A" w:rsidP="0042781A">
      <w:pPr>
        <w:pStyle w:val="ListBullet2"/>
      </w:pPr>
      <w:r w:rsidRPr="0042781A">
        <w:t>common abbreviations</w:t>
      </w:r>
    </w:p>
    <w:p w:rsidR="00000000" w:rsidRPr="0042781A" w:rsidP="0042781A">
      <w:pPr>
        <w:pStyle w:val="ListBullet2"/>
      </w:pPr>
      <w:r w:rsidRPr="0042781A">
        <w:t>pharmacodynamics - drug re</w:t>
      </w:r>
      <w:r w:rsidRPr="0042781A">
        <w:t>ceptor interactions/dose-response relationships/therapeutic index</w:t>
      </w:r>
    </w:p>
    <w:p w:rsidR="00000000" w:rsidRPr="0042781A" w:rsidP="0042781A">
      <w:pPr>
        <w:pStyle w:val="ListBullet2"/>
      </w:pPr>
      <w:r w:rsidRPr="0042781A">
        <w:t>pharmacokinetics (ADME) absorption/distribution/metabolism/excretion</w:t>
      </w:r>
    </w:p>
    <w:p w:rsidR="00000000" w:rsidRPr="0042781A" w:rsidP="0042781A">
      <w:pPr>
        <w:pStyle w:val="ListBullet2"/>
      </w:pPr>
      <w:r w:rsidRPr="0042781A">
        <w:t>pharmacotherapeutics</w:t>
      </w:r>
    </w:p>
    <w:p w:rsidR="00000000" w:rsidRPr="0042781A" w:rsidP="0042781A">
      <w:pPr>
        <w:pStyle w:val="ListBullet2"/>
      </w:pPr>
      <w:r w:rsidRPr="0042781A">
        <w:t>adverse drug reactions and interactions</w:t>
      </w:r>
    </w:p>
    <w:p w:rsidR="00000000" w:rsidRPr="0042781A" w:rsidP="0042781A">
      <w:pPr>
        <w:pStyle w:val="ListBullet2"/>
      </w:pPr>
      <w:r w:rsidRPr="0042781A">
        <w:t xml:space="preserve">toxicity/toxicology </w:t>
      </w:r>
    </w:p>
    <w:p w:rsidR="00000000" w:rsidRPr="0042781A" w:rsidP="0042781A">
      <w:pPr>
        <w:pStyle w:val="ListBullet"/>
      </w:pPr>
      <w:r w:rsidRPr="0042781A">
        <w:t>drug administration routes:</w:t>
      </w:r>
    </w:p>
    <w:p w:rsidR="00000000" w:rsidRPr="0042781A" w:rsidP="0042781A">
      <w:pPr>
        <w:pStyle w:val="ListBullet2"/>
      </w:pPr>
      <w:r w:rsidRPr="0042781A">
        <w:t>enteral medication – endotracheal, sublingual, buccal, rectal, vaginal, urethral</w:t>
      </w:r>
    </w:p>
    <w:p w:rsidR="00000000" w:rsidRPr="0042781A" w:rsidP="0042781A">
      <w:pPr>
        <w:pStyle w:val="ListBullet2"/>
      </w:pPr>
      <w:r w:rsidRPr="0042781A">
        <w:t>parenteral medication - intravenous, intramuscular, intraosseous, intracardiac, intraarticular, intrauterine, intrathecal, subcutaneous, intra-arterial, inhalational</w:t>
      </w:r>
    </w:p>
    <w:p w:rsidR="00000000" w:rsidRPr="0042781A" w:rsidP="0042781A">
      <w:pPr>
        <w:pStyle w:val="ListBullet2"/>
      </w:pPr>
      <w:r w:rsidRPr="0042781A">
        <w:t>topical m</w:t>
      </w:r>
      <w:r w:rsidRPr="0042781A">
        <w:t>edication - subcutaneous, transnasal, transdermal, ocular, inhalational, aural</w:t>
      </w:r>
    </w:p>
    <w:p w:rsidR="00000000" w:rsidRPr="0042781A" w:rsidP="0042781A">
      <w:pPr>
        <w:pStyle w:val="ListBullet"/>
      </w:pPr>
      <w:r w:rsidRPr="0042781A">
        <w:t>formulations, including</w:t>
      </w:r>
    </w:p>
    <w:p w:rsidR="00000000" w:rsidRPr="0042781A" w:rsidP="0042781A">
      <w:pPr>
        <w:pStyle w:val="ListBullet2"/>
      </w:pPr>
      <w:r w:rsidRPr="0042781A">
        <w:t>wafers</w:t>
      </w:r>
    </w:p>
    <w:p w:rsidR="00000000" w:rsidRPr="0042781A" w:rsidP="0042781A">
      <w:pPr>
        <w:pStyle w:val="ListBullet2"/>
      </w:pPr>
      <w:r w:rsidRPr="0042781A">
        <w:t>tablets</w:t>
      </w:r>
    </w:p>
    <w:p w:rsidR="00000000" w:rsidRPr="0042781A" w:rsidP="0042781A">
      <w:pPr>
        <w:pStyle w:val="ListBullet2"/>
      </w:pPr>
      <w:r w:rsidRPr="0042781A">
        <w:t>lozenges</w:t>
      </w:r>
    </w:p>
    <w:p w:rsidR="00000000" w:rsidRPr="0042781A" w:rsidP="0042781A">
      <w:pPr>
        <w:pStyle w:val="ListBullet2"/>
      </w:pPr>
      <w:r w:rsidRPr="0042781A">
        <w:t>capsules</w:t>
      </w:r>
    </w:p>
    <w:p w:rsidR="00000000" w:rsidRPr="0042781A" w:rsidP="0042781A">
      <w:pPr>
        <w:pStyle w:val="ListBullet2"/>
      </w:pPr>
      <w:r w:rsidRPr="0042781A">
        <w:t>elixir</w:t>
      </w:r>
    </w:p>
    <w:p w:rsidR="00000000" w:rsidRPr="0042781A" w:rsidP="0042781A">
      <w:pPr>
        <w:pStyle w:val="ListBullet2"/>
      </w:pPr>
      <w:r w:rsidRPr="0042781A">
        <w:t>suspension</w:t>
      </w:r>
    </w:p>
    <w:p w:rsidR="00000000" w:rsidRPr="0042781A" w:rsidP="0042781A">
      <w:pPr>
        <w:pStyle w:val="ListBullet2"/>
      </w:pPr>
      <w:r w:rsidRPr="0042781A">
        <w:t>solutions</w:t>
      </w:r>
    </w:p>
    <w:p w:rsidR="00000000" w:rsidRPr="0042781A" w:rsidP="0042781A">
      <w:pPr>
        <w:pStyle w:val="ListBullet2"/>
      </w:pPr>
      <w:r w:rsidRPr="0042781A">
        <w:t xml:space="preserve">creams </w:t>
      </w:r>
    </w:p>
    <w:p w:rsidR="00000000" w:rsidRPr="0042781A" w:rsidP="0042781A">
      <w:pPr>
        <w:pStyle w:val="ListBullet"/>
      </w:pPr>
      <w:r w:rsidRPr="0042781A">
        <w:t xml:space="preserve">major drug groups used in anaesthesia - presentation, formulation, indication, mode of action, system of delivery and administration routes, precautions, side effects, contraindications and adverse reactions, storage requirements, factors influencing drug </w:t>
      </w:r>
      <w:r w:rsidRPr="0042781A">
        <w:t>actions, dosage variations for different types of clients for all of the following:</w:t>
      </w:r>
    </w:p>
    <w:p w:rsidR="00000000" w:rsidRPr="0042781A" w:rsidP="0042781A">
      <w:pPr>
        <w:pStyle w:val="ListBullet2"/>
      </w:pPr>
      <w:r w:rsidRPr="0042781A">
        <w:t>inhalational induction agents</w:t>
      </w:r>
    </w:p>
    <w:p w:rsidR="00000000" w:rsidRPr="0042781A" w:rsidP="0042781A">
      <w:pPr>
        <w:pStyle w:val="ListBullet2"/>
      </w:pPr>
      <w:r w:rsidRPr="0042781A">
        <w:t>intravenous induction agents</w:t>
      </w:r>
    </w:p>
    <w:p w:rsidR="00000000" w:rsidRPr="0042781A" w:rsidP="0042781A">
      <w:pPr>
        <w:pStyle w:val="ListBullet2"/>
      </w:pPr>
      <w:r w:rsidRPr="0042781A">
        <w:t>analgesics</w:t>
      </w:r>
    </w:p>
    <w:p w:rsidR="00000000" w:rsidRPr="0042781A" w:rsidP="0042781A">
      <w:pPr>
        <w:pStyle w:val="ListBullet2"/>
      </w:pPr>
      <w:r w:rsidRPr="0042781A">
        <w:t>non steroidal anti-inflammatory drugs (NSAID)</w:t>
      </w:r>
    </w:p>
    <w:p w:rsidR="00000000" w:rsidRPr="0042781A" w:rsidP="0042781A">
      <w:pPr>
        <w:pStyle w:val="ListBullet2"/>
      </w:pPr>
      <w:r w:rsidRPr="0042781A">
        <w:t>anti-emetics</w:t>
      </w:r>
    </w:p>
    <w:p w:rsidR="00000000" w:rsidRPr="0042781A" w:rsidP="0042781A">
      <w:pPr>
        <w:pStyle w:val="ListBullet2"/>
      </w:pPr>
      <w:r w:rsidRPr="0042781A">
        <w:t>muscle relaxants</w:t>
      </w:r>
    </w:p>
    <w:p w:rsidR="00000000" w:rsidRPr="0042781A" w:rsidP="0042781A">
      <w:pPr>
        <w:pStyle w:val="ListBullet2"/>
      </w:pPr>
      <w:r w:rsidRPr="0042781A">
        <w:t>respiratory medications</w:t>
      </w:r>
    </w:p>
    <w:p w:rsidR="00000000" w:rsidRPr="0042781A" w:rsidP="0042781A">
      <w:pPr>
        <w:pStyle w:val="ListBullet2"/>
      </w:pPr>
      <w:r w:rsidRPr="0042781A">
        <w:t>a</w:t>
      </w:r>
      <w:r w:rsidRPr="0042781A">
        <w:t>nticoagulants</w:t>
      </w:r>
    </w:p>
    <w:p w:rsidR="00000000" w:rsidRPr="0042781A" w:rsidP="0042781A">
      <w:pPr>
        <w:pStyle w:val="ListBullet2"/>
      </w:pPr>
      <w:r w:rsidRPr="0042781A">
        <w:t>local anaesthetics</w:t>
      </w:r>
    </w:p>
    <w:p w:rsidR="00000000" w:rsidRPr="0042781A" w:rsidP="0042781A">
      <w:pPr>
        <w:pStyle w:val="ListBullet2"/>
      </w:pPr>
      <w:r w:rsidRPr="0042781A">
        <w:t>antibiotics</w:t>
      </w:r>
    </w:p>
    <w:p w:rsidR="00000000" w:rsidRPr="0042781A" w:rsidP="0042781A">
      <w:pPr>
        <w:pStyle w:val="ListBullet2"/>
      </w:pPr>
      <w:r w:rsidRPr="0042781A">
        <w:t>cardiovascular medication, including diuretics</w:t>
      </w:r>
    </w:p>
    <w:p w:rsidR="00000000" w:rsidRPr="0042781A" w:rsidP="0042781A">
      <w:pPr>
        <w:pStyle w:val="ListBullet2"/>
      </w:pPr>
      <w:r w:rsidRPr="0042781A">
        <w:t>electrolytes</w:t>
      </w:r>
    </w:p>
    <w:p w:rsidR="00000000" w:rsidRPr="0042781A" w:rsidP="0042781A">
      <w:pPr>
        <w:pStyle w:val="ListBullet"/>
      </w:pPr>
      <w:r w:rsidRPr="0042781A">
        <w:t>drugs used in the management of the following conditions (which may complicate or co-exist with anaesthesia):</w:t>
      </w:r>
    </w:p>
    <w:p w:rsidR="00000000" w:rsidRPr="0042781A" w:rsidP="0042781A">
      <w:pPr>
        <w:pStyle w:val="ListBullet2"/>
      </w:pPr>
      <w:r w:rsidRPr="0042781A">
        <w:t>adrenal dysfunction</w:t>
      </w:r>
    </w:p>
    <w:p w:rsidR="00000000" w:rsidRPr="0042781A" w:rsidP="0042781A">
      <w:pPr>
        <w:pStyle w:val="ListBullet2"/>
      </w:pPr>
      <w:r w:rsidRPr="0042781A">
        <w:t>anaphylaxis</w:t>
      </w:r>
    </w:p>
    <w:p w:rsidR="00000000" w:rsidRPr="0042781A" w:rsidP="0042781A">
      <w:pPr>
        <w:pStyle w:val="ListBullet2"/>
      </w:pPr>
      <w:r w:rsidRPr="0042781A">
        <w:t>angina</w:t>
      </w:r>
    </w:p>
    <w:p w:rsidR="00000000" w:rsidRPr="0042781A" w:rsidP="0042781A">
      <w:pPr>
        <w:pStyle w:val="ListBullet2"/>
      </w:pPr>
      <w:r w:rsidRPr="0042781A">
        <w:t>bronchospasm</w:t>
      </w:r>
    </w:p>
    <w:p w:rsidR="00000000" w:rsidRPr="0042781A" w:rsidP="0042781A">
      <w:pPr>
        <w:pStyle w:val="ListBullet2"/>
      </w:pPr>
      <w:r w:rsidRPr="0042781A">
        <w:t>cardiac arrest</w:t>
      </w:r>
    </w:p>
    <w:p w:rsidR="00000000" w:rsidRPr="0042781A" w:rsidP="0042781A">
      <w:pPr>
        <w:pStyle w:val="ListBullet2"/>
      </w:pPr>
      <w:r w:rsidRPr="0042781A">
        <w:t>cardiac arrhythmias</w:t>
      </w:r>
    </w:p>
    <w:p w:rsidR="00000000" w:rsidRPr="0042781A" w:rsidP="0042781A">
      <w:pPr>
        <w:pStyle w:val="ListBullet2"/>
      </w:pPr>
      <w:r w:rsidRPr="0042781A">
        <w:t>congestive heart failure</w:t>
      </w:r>
    </w:p>
    <w:p w:rsidR="00000000" w:rsidRPr="0042781A" w:rsidP="0042781A">
      <w:pPr>
        <w:pStyle w:val="ListBullet2"/>
      </w:pPr>
      <w:r w:rsidRPr="0042781A">
        <w:t>coagulopathies</w:t>
      </w:r>
    </w:p>
    <w:p w:rsidR="00000000" w:rsidRPr="0042781A" w:rsidP="0042781A">
      <w:pPr>
        <w:pStyle w:val="ListBullet2"/>
      </w:pPr>
      <w:r w:rsidRPr="0042781A">
        <w:t>deep vein thrombosis</w:t>
      </w:r>
    </w:p>
    <w:p w:rsidR="00000000" w:rsidRPr="0042781A" w:rsidP="0042781A">
      <w:pPr>
        <w:pStyle w:val="ListBullet2"/>
      </w:pPr>
      <w:r w:rsidRPr="0042781A">
        <w:t>endocrine dysfunction</w:t>
      </w:r>
    </w:p>
    <w:p w:rsidR="00000000" w:rsidRPr="0042781A" w:rsidP="0042781A">
      <w:pPr>
        <w:pStyle w:val="ListBullet2"/>
      </w:pPr>
      <w:r w:rsidRPr="0042781A">
        <w:t>hypoglycaemia</w:t>
      </w:r>
    </w:p>
    <w:p w:rsidR="00000000" w:rsidRPr="0042781A" w:rsidP="0042781A">
      <w:pPr>
        <w:pStyle w:val="ListBullet2"/>
      </w:pPr>
      <w:r w:rsidRPr="0042781A">
        <w:t>hypotension</w:t>
      </w:r>
    </w:p>
    <w:p w:rsidR="00000000" w:rsidRPr="0042781A" w:rsidP="0042781A">
      <w:pPr>
        <w:pStyle w:val="ListBullet2"/>
      </w:pPr>
      <w:r w:rsidRPr="0042781A">
        <w:t>hyperglycaemia</w:t>
      </w:r>
    </w:p>
    <w:p w:rsidR="00000000" w:rsidRPr="0042781A" w:rsidP="0042781A">
      <w:pPr>
        <w:pStyle w:val="ListBullet2"/>
      </w:pPr>
      <w:r w:rsidRPr="0042781A">
        <w:t>hypertension</w:t>
      </w:r>
    </w:p>
    <w:p w:rsidR="00000000" w:rsidRPr="0042781A" w:rsidP="0042781A">
      <w:pPr>
        <w:pStyle w:val="ListBullet2"/>
      </w:pPr>
      <w:r w:rsidRPr="0042781A">
        <w:t>pulmonary oedema/embolism</w:t>
      </w:r>
    </w:p>
    <w:p w:rsidR="00000000" w:rsidRPr="0042781A" w:rsidP="0042781A">
      <w:pPr>
        <w:pStyle w:val="ListBullet2"/>
      </w:pPr>
      <w:r w:rsidRPr="0042781A">
        <w:t>raised intracranial/intra-ocular pressure</w:t>
      </w:r>
    </w:p>
    <w:p w:rsidR="00000000" w:rsidRPr="0042781A" w:rsidP="0042781A">
      <w:pPr>
        <w:pStyle w:val="ListBullet2"/>
      </w:pPr>
      <w:r w:rsidRPr="0042781A">
        <w:t>respiratory depression/compromise</w:t>
      </w:r>
    </w:p>
    <w:p w:rsidR="00000000" w:rsidRPr="0042781A" w:rsidP="0042781A">
      <w:pPr>
        <w:pStyle w:val="ListBullet2"/>
      </w:pPr>
      <w:r w:rsidRPr="0042781A">
        <w:t>stroke</w:t>
      </w:r>
    </w:p>
    <w:p w:rsidR="00000000" w:rsidRPr="0042781A" w:rsidP="0042781A">
      <w:pPr>
        <w:pStyle w:val="ListBullet2"/>
      </w:pPr>
      <w:r w:rsidRPr="0042781A">
        <w:t>seizure</w:t>
      </w:r>
    </w:p>
    <w:p w:rsidR="00000000" w:rsidRPr="0042781A" w:rsidP="0042781A">
      <w:pPr>
        <w:pStyle w:val="ListBullet2"/>
      </w:pPr>
      <w:r w:rsidRPr="0042781A">
        <w:t xml:space="preserve">uterine atony </w:t>
      </w:r>
    </w:p>
    <w:p w:rsidR="00000000" w:rsidRPr="0042781A" w:rsidP="0042781A">
      <w:pPr>
        <w:pStyle w:val="ListBullet"/>
      </w:pPr>
      <w:r w:rsidRPr="0042781A">
        <w:t>methods of drug preparation, including:</w:t>
      </w:r>
    </w:p>
    <w:p w:rsidR="00000000" w:rsidRPr="0042781A" w:rsidP="0042781A">
      <w:pPr>
        <w:pStyle w:val="ListBullet2"/>
      </w:pPr>
      <w:r w:rsidRPr="0042781A">
        <w:t>dilutions</w:t>
      </w:r>
    </w:p>
    <w:p w:rsidR="00000000" w:rsidRPr="0042781A" w:rsidP="0042781A">
      <w:pPr>
        <w:pStyle w:val="ListBullet2"/>
      </w:pPr>
      <w:r w:rsidRPr="0042781A">
        <w:t>reconstitutions</w:t>
      </w:r>
    </w:p>
    <w:p w:rsidR="00000000" w:rsidRPr="0042781A" w:rsidP="0042781A">
      <w:pPr>
        <w:pStyle w:val="ListBullet"/>
      </w:pPr>
      <w:r w:rsidRPr="0042781A">
        <w:t>factors to consider when calculating medication dosages including:</w:t>
      </w:r>
    </w:p>
    <w:p w:rsidR="00000000" w:rsidRPr="0042781A" w:rsidP="0042781A">
      <w:pPr>
        <w:pStyle w:val="ListBullet2"/>
      </w:pPr>
      <w:r w:rsidRPr="0042781A">
        <w:t>calculation formulae</w:t>
      </w:r>
    </w:p>
    <w:p w:rsidR="00000000" w:rsidRPr="0042781A" w:rsidP="0042781A">
      <w:pPr>
        <w:pStyle w:val="ListBullet2"/>
      </w:pPr>
      <w:r w:rsidRPr="0042781A">
        <w:t>calculation of dosages of injectab</w:t>
      </w:r>
      <w:r w:rsidRPr="0042781A">
        <w:t>le drugs (liquid, solid, unit dosages)</w:t>
      </w:r>
    </w:p>
    <w:p w:rsidR="00000000" w:rsidRPr="0042781A" w:rsidP="0042781A">
      <w:pPr>
        <w:pStyle w:val="ListBullet2"/>
      </w:pPr>
      <w:r w:rsidRPr="0042781A">
        <w:t>flow rate drops per minute</w:t>
      </w:r>
    </w:p>
    <w:p w:rsidR="00000000" w:rsidRPr="0042781A" w:rsidP="0042781A">
      <w:pPr>
        <w:pStyle w:val="ListBullet2"/>
      </w:pPr>
      <w:r w:rsidRPr="0042781A">
        <w:t>flow rate millilitres per hour</w:t>
      </w:r>
    </w:p>
    <w:p w:rsidR="00000000" w:rsidRPr="0042781A" w:rsidP="0042781A">
      <w:pPr>
        <w:pStyle w:val="ListBullet2"/>
      </w:pPr>
      <w:r w:rsidRPr="0042781A">
        <w:t>duration of infusion</w:t>
      </w:r>
    </w:p>
    <w:p w:rsidR="00000000" w:rsidRPr="0042781A" w:rsidP="0042781A">
      <w:pPr>
        <w:pStyle w:val="ListBullet2"/>
      </w:pPr>
      <w:r w:rsidRPr="0042781A">
        <w:t>paediatric dosage calculations (body weight, surface area, age related dose reduction)</w:t>
      </w:r>
    </w:p>
    <w:p w:rsidR="00000000" w:rsidRPr="0042781A" w:rsidP="0042781A">
      <w:pPr>
        <w:pStyle w:val="ListBullet2"/>
      </w:pPr>
      <w:r w:rsidRPr="0042781A">
        <w:t>geriatric dosage calculations (body weight, surface area and age)</w:t>
      </w:r>
    </w:p>
    <w:p w:rsidR="00000000" w:rsidRPr="0042781A" w:rsidP="0042781A">
      <w:pPr>
        <w:pStyle w:val="ListBullet"/>
      </w:pPr>
      <w:r w:rsidRPr="0042781A">
        <w:t>methods of storage and handling of medication</w:t>
      </w:r>
    </w:p>
    <w:p w:rsidR="00000000" w:rsidRPr="0042781A" w:rsidP="0042781A">
      <w:pPr>
        <w:pStyle w:val="ListBullet"/>
      </w:pPr>
      <w:r w:rsidRPr="0042781A">
        <w:t>equipment for administration of medications, including:</w:t>
      </w:r>
    </w:p>
    <w:p w:rsidR="00000000" w:rsidRPr="0042781A" w:rsidP="0042781A">
      <w:pPr>
        <w:pStyle w:val="ListBullet2"/>
      </w:pPr>
      <w:r w:rsidRPr="0042781A">
        <w:t>volumetric pumps</w:t>
      </w:r>
    </w:p>
    <w:p w:rsidR="00000000" w:rsidRPr="0042781A" w:rsidP="0042781A">
      <w:pPr>
        <w:pStyle w:val="ListBullet2"/>
      </w:pPr>
      <w:r w:rsidRPr="0042781A">
        <w:t>syringe drivers</w:t>
      </w:r>
    </w:p>
    <w:p w:rsidR="00000000" w:rsidRPr="0042781A" w:rsidP="0042781A">
      <w:pPr>
        <w:pStyle w:val="ListBullet2"/>
      </w:pPr>
      <w:r w:rsidRPr="0042781A">
        <w:t>consumables</w:t>
      </w:r>
    </w:p>
    <w:p w:rsidR="00000000" w:rsidRPr="0042781A" w:rsidP="0042781A">
      <w:pPr>
        <w:pStyle w:val="ListBullet"/>
      </w:pPr>
      <w:r w:rsidRPr="0042781A">
        <w:t>infusion products and equipment:</w:t>
      </w:r>
    </w:p>
    <w:p w:rsidR="00000000" w:rsidRPr="0042781A" w:rsidP="0042781A">
      <w:pPr>
        <w:pStyle w:val="ListBullet2"/>
      </w:pPr>
      <w:r w:rsidRPr="0042781A">
        <w:t xml:space="preserve">rapid </w:t>
      </w:r>
      <w:r w:rsidRPr="0042781A">
        <w:t>infusers</w:t>
      </w:r>
    </w:p>
    <w:p w:rsidR="00000000" w:rsidRPr="0042781A" w:rsidP="0042781A">
      <w:pPr>
        <w:pStyle w:val="ListBullet2"/>
      </w:pPr>
      <w:r w:rsidRPr="0042781A">
        <w:t>warming devices</w:t>
      </w:r>
    </w:p>
    <w:p w:rsidR="00000000" w:rsidRPr="0042781A" w:rsidP="0042781A">
      <w:pPr>
        <w:pStyle w:val="ListBullet2"/>
      </w:pPr>
      <w:r w:rsidRPr="0042781A">
        <w:t>burettes</w:t>
      </w:r>
    </w:p>
    <w:p w:rsidR="00000000" w:rsidRPr="0042781A" w:rsidP="0042781A">
      <w:pPr>
        <w:pStyle w:val="ListBullet2"/>
      </w:pPr>
      <w:r w:rsidRPr="0042781A">
        <w:t>infusion sets and attachments</w:t>
      </w:r>
    </w:p>
    <w:p w:rsidR="00000000" w:rsidRPr="0042781A" w:rsidP="0042781A">
      <w:pPr>
        <w:pStyle w:val="ListBullet2"/>
      </w:pPr>
      <w:r w:rsidRPr="0042781A">
        <w:t>blood and blood products</w:t>
      </w:r>
    </w:p>
    <w:p w:rsidR="00000000" w:rsidRPr="0042781A" w:rsidP="0042781A">
      <w:pPr>
        <w:pStyle w:val="ListBullet2"/>
      </w:pPr>
      <w:r w:rsidRPr="0042781A">
        <w:t>crystalloids</w:t>
      </w:r>
    </w:p>
    <w:p w:rsidR="00000000" w:rsidRPr="0042781A" w:rsidP="0042781A">
      <w:pPr>
        <w:pStyle w:val="ListBullet2"/>
      </w:pPr>
      <w:r w:rsidRPr="0042781A">
        <w:t>colloids</w:t>
      </w:r>
    </w:p>
    <w:p w:rsidR="00000000" w:rsidRPr="0042781A" w:rsidP="0042781A">
      <w:pPr>
        <w:pStyle w:val="ListBullet"/>
      </w:pPr>
      <w:r w:rsidRPr="0042781A">
        <w:t>massive transfusion protocol</w:t>
      </w:r>
    </w:p>
    <w:p w:rsidR="00000000" w:rsidRPr="0042781A" w:rsidP="0042781A">
      <w:pPr>
        <w:pStyle w:val="ListBullet"/>
      </w:pPr>
      <w:r w:rsidRPr="0042781A">
        <w:t>emergency medical management of anaphylaxis and adverse drug/fluid reactions</w:t>
      </w:r>
    </w:p>
    <w:p w:rsidR="00000000" w:rsidRPr="0042781A" w:rsidP="0042781A">
      <w:pPr>
        <w:pStyle w:val="AllowPageBreak"/>
      </w:pPr>
    </w:p>
    <w:p w:rsidR="00000000" w:rsidRPr="0042781A" w:rsidP="0042781A">
      <w:pPr>
        <w:pStyle w:val="Heading1"/>
      </w:pPr>
      <w:bookmarkStart w:id="4" w:name="O_742222"/>
      <w:bookmarkEnd w:id="4"/>
      <w:r w:rsidRPr="0042781A">
        <w:t>Assessment Conditions</w:t>
      </w:r>
    </w:p>
    <w:p w:rsidR="00000000" w:rsidRPr="0042781A" w:rsidP="00D36AAA">
      <w:pPr>
        <w:pStyle w:val="BodyText"/>
      </w:pPr>
      <w:r w:rsidRPr="0042781A">
        <w:t xml:space="preserve">Skills must have been demonstrated in the workplace or in a simulated environment that reflects workplace conditions. The following conditions must be met for this unit: </w:t>
      </w:r>
    </w:p>
    <w:p w:rsidR="00000000" w:rsidRPr="0042781A" w:rsidP="0042781A">
      <w:pPr>
        <w:pStyle w:val="ListBullet"/>
      </w:pPr>
      <w:r w:rsidRPr="0042781A">
        <w:t xml:space="preserve">use of suitable facilities, equipment and resources, including: </w:t>
      </w:r>
    </w:p>
    <w:p w:rsidR="00000000" w:rsidRPr="0042781A" w:rsidP="0042781A">
      <w:pPr>
        <w:pStyle w:val="ListBullet"/>
      </w:pPr>
      <w:r w:rsidRPr="0042781A">
        <w:t>manufacturer’s ins</w:t>
      </w:r>
      <w:r w:rsidRPr="0042781A">
        <w:t>tructions</w:t>
      </w:r>
    </w:p>
    <w:p w:rsidR="00000000" w:rsidRPr="0042781A" w:rsidP="0042781A">
      <w:pPr>
        <w:pStyle w:val="ListBullet"/>
      </w:pPr>
      <w:r w:rsidRPr="0042781A">
        <w:t xml:space="preserve">organisation policies and procedures </w:t>
      </w:r>
    </w:p>
    <w:p w:rsidR="00000000" w:rsidRPr="0042781A" w:rsidP="0042781A">
      <w:pPr>
        <w:pStyle w:val="ListBullet"/>
      </w:pPr>
      <w:r w:rsidRPr="0042781A">
        <w:t>MIMS</w:t>
      </w:r>
    </w:p>
    <w:p w:rsidR="00000000" w:rsidRPr="0042781A" w:rsidP="0042781A">
      <w:pPr>
        <w:pStyle w:val="ListBullet"/>
      </w:pPr>
      <w:r w:rsidRPr="0042781A">
        <w:t>Australian &amp; New Zealand Society of Blood Transfusion (ANZSBT)</w:t>
      </w:r>
    </w:p>
    <w:p w:rsidR="00000000" w:rsidRPr="0042781A" w:rsidP="0042781A">
      <w:pPr>
        <w:pStyle w:val="ListBullet"/>
      </w:pPr>
      <w:r w:rsidRPr="0042781A">
        <w:t>Australian and New Zealand College of Anaesthetists (ANZCA)</w:t>
      </w:r>
    </w:p>
    <w:p w:rsidR="00000000" w:rsidRPr="0042781A" w:rsidP="0042781A">
      <w:pPr>
        <w:pStyle w:val="ListBullet"/>
      </w:pPr>
      <w:r w:rsidRPr="0042781A">
        <w:t>medications</w:t>
      </w:r>
    </w:p>
    <w:p w:rsidR="00000000" w:rsidRPr="0042781A" w:rsidP="0042781A">
      <w:pPr>
        <w:pStyle w:val="ListBullet"/>
      </w:pPr>
      <w:r w:rsidRPr="0042781A">
        <w:t>modelling of industry operating conditions, including presence of si</w:t>
      </w:r>
      <w:r w:rsidRPr="0042781A">
        <w:t>tuations requiring problem solving in non-routine situations</w:t>
      </w:r>
    </w:p>
    <w:p w:rsidR="00000000" w:rsidRPr="0042781A" w:rsidP="0042781A">
      <w:pPr>
        <w:pStyle w:val="BodyText"/>
      </w:pPr>
    </w:p>
    <w:p w:rsidR="00000000" w:rsidRPr="0042781A" w:rsidP="00D36AAA">
      <w:pPr>
        <w:pStyle w:val="BodyText"/>
      </w:pPr>
      <w:r w:rsidRPr="0042781A">
        <w:t>Assessors must satisfy the Standards for Registered Training Organisations (RTOs) 2015/AQTF mandatory competency requirements for assessors.</w:t>
      </w:r>
    </w:p>
    <w:p w:rsidR="00000000" w:rsidRPr="0042781A" w:rsidP="0042781A">
      <w:pPr>
        <w:pStyle w:val="Heading1"/>
      </w:pPr>
      <w:bookmarkStart w:id="5" w:name="O_742225"/>
      <w:bookmarkEnd w:id="5"/>
      <w:r w:rsidRPr="0042781A">
        <w:t>Links</w:t>
      </w:r>
    </w:p>
    <w:p w:rsidR="00000000" w:rsidRPr="0042781A" w:rsidP="00D36AAA">
      <w:pPr>
        <w:pStyle w:val="BodyText"/>
      </w:pPr>
      <w:r w:rsidRPr="0042781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D3F93">
        <w:rPr>
          <w:rStyle w:val="Hyperlink"/>
        </w:rPr>
        <w:t>https://vetnet.gov.au/Pages/TrainingDocs.aspx?q=ced1390f-48d9-4ab0-bd50-b015e5485705</w:t>
      </w:r>
      <w:r>
        <w:fldChar w:fldCharType="end"/>
      </w:r>
    </w:p>
    <w:p w:rsidR="00000000" w:rsidRPr="0042781A" w:rsidP="0042781A"/>
    <w:sectPr w:rsidSect="004278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1A" w:rsidRPr="00D36AAA" w:rsidP="00D36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AAA" w:rsidP="004278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6AAA" w:rsidP="004278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36AAA" w:rsidP="004278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A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81A" w:rsidRPr="00D36AAA" w:rsidP="00D36A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AAA" w:rsidRPr="002D2AF8" w:rsidP="0042781A">
    <w:pPr>
      <w:pStyle w:val="Header"/>
      <w:framePr w:wrap="around"/>
    </w:pPr>
    <w:r>
      <w:fldChar w:fldCharType="begin"/>
    </w:r>
    <w:r>
      <w:instrText xml:space="preserve"> TITLE   \* MERGEFORMAT </w:instrText>
    </w:r>
    <w:r>
      <w:fldChar w:fldCharType="separate"/>
    </w:r>
    <w:r>
      <w:t>Assessment Requirements for HLTANA007 Monitor medications in the anaesthetic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D36AAA" w:rsidP="004278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66C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205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D251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8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81A"/>
    <w:pPr>
      <w:spacing w:before="360" w:after="60"/>
      <w:outlineLvl w:val="0"/>
    </w:pPr>
    <w:rPr>
      <w:sz w:val="32"/>
    </w:rPr>
  </w:style>
  <w:style w:type="paragraph" w:styleId="Heading2">
    <w:name w:val="heading 2"/>
    <w:basedOn w:val="HeadingBase"/>
    <w:next w:val="BodyText"/>
    <w:link w:val="Heading2Char"/>
    <w:qFormat/>
    <w:rsid w:val="0042781A"/>
    <w:pPr>
      <w:keepLines/>
      <w:spacing w:before="240" w:after="120"/>
      <w:outlineLvl w:val="1"/>
    </w:pPr>
    <w:rPr>
      <w:sz w:val="28"/>
      <w:szCs w:val="40"/>
    </w:rPr>
  </w:style>
  <w:style w:type="paragraph" w:styleId="Heading3">
    <w:name w:val="heading 3"/>
    <w:basedOn w:val="HeadingBase"/>
    <w:next w:val="BodyText"/>
    <w:link w:val="Heading3Char"/>
    <w:qFormat/>
    <w:rsid w:val="0042781A"/>
    <w:pPr>
      <w:spacing w:before="180" w:after="120"/>
      <w:outlineLvl w:val="2"/>
    </w:pPr>
    <w:rPr>
      <w:spacing w:val="-10"/>
      <w:kern w:val="32"/>
    </w:rPr>
  </w:style>
  <w:style w:type="paragraph" w:styleId="Heading4">
    <w:name w:val="heading 4"/>
    <w:basedOn w:val="HeadingBase"/>
    <w:next w:val="BodyText"/>
    <w:link w:val="Heading4Char"/>
    <w:qFormat/>
    <w:rsid w:val="0042781A"/>
    <w:pPr>
      <w:spacing w:before="160" w:after="120"/>
      <w:outlineLvl w:val="3"/>
    </w:pPr>
    <w:rPr>
      <w:sz w:val="22"/>
    </w:rPr>
  </w:style>
  <w:style w:type="paragraph" w:styleId="Heading5">
    <w:name w:val="heading 5"/>
    <w:basedOn w:val="HeadingBase"/>
    <w:next w:val="Normal"/>
    <w:link w:val="Heading5Char"/>
    <w:qFormat/>
    <w:rsid w:val="0042781A"/>
    <w:pPr>
      <w:spacing w:before="80"/>
      <w:outlineLvl w:val="4"/>
    </w:pPr>
    <w:rPr>
      <w:color w:val="918585"/>
      <w:sz w:val="20"/>
    </w:rPr>
  </w:style>
  <w:style w:type="paragraph" w:styleId="Heading6">
    <w:name w:val="heading 6"/>
    <w:basedOn w:val="HeadingBase"/>
    <w:next w:val="Normal"/>
    <w:link w:val="Heading6Char"/>
    <w:qFormat/>
    <w:rsid w:val="0042781A"/>
    <w:pPr>
      <w:spacing w:before="60"/>
      <w:outlineLvl w:val="5"/>
    </w:pPr>
    <w:rPr>
      <w:color w:val="918585"/>
      <w:sz w:val="20"/>
    </w:rPr>
  </w:style>
  <w:style w:type="paragraph" w:styleId="Heading7">
    <w:name w:val="heading 7"/>
    <w:basedOn w:val="Normal"/>
    <w:next w:val="Normal"/>
    <w:link w:val="Heading7Char"/>
    <w:qFormat/>
    <w:rsid w:val="0042781A"/>
    <w:pPr>
      <w:ind w:left="720"/>
      <w:outlineLvl w:val="6"/>
    </w:pPr>
    <w:rPr>
      <w:i/>
    </w:rPr>
  </w:style>
  <w:style w:type="paragraph" w:styleId="Heading8">
    <w:name w:val="heading 8"/>
    <w:basedOn w:val="Normal"/>
    <w:next w:val="Normal"/>
    <w:link w:val="Heading8Char"/>
    <w:qFormat/>
    <w:rsid w:val="0042781A"/>
    <w:pPr>
      <w:ind w:left="720"/>
      <w:outlineLvl w:val="7"/>
    </w:pPr>
    <w:rPr>
      <w:i/>
    </w:rPr>
  </w:style>
  <w:style w:type="paragraph" w:styleId="Heading9">
    <w:name w:val="heading 9"/>
    <w:basedOn w:val="Normal"/>
    <w:next w:val="Normal"/>
    <w:link w:val="Heading9Char"/>
    <w:qFormat/>
    <w:rsid w:val="0042781A"/>
    <w:pPr>
      <w:ind w:left="720"/>
      <w:outlineLvl w:val="8"/>
    </w:pPr>
    <w:rPr>
      <w:i/>
    </w:rPr>
  </w:style>
  <w:style w:type="character" w:default="1" w:styleId="DefaultParagraphFont">
    <w:name w:val="Default Paragraph Font"/>
    <w:uiPriority w:val="1"/>
    <w:unhideWhenUsed/>
    <w:rsid w:val="004278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81A"/>
  </w:style>
  <w:style w:type="character" w:customStyle="1" w:styleId="Heading1Char">
    <w:name w:val="Heading 1 Char"/>
    <w:basedOn w:val="DefaultParagraphFont"/>
    <w:link w:val="Heading1"/>
    <w:rsid w:val="0042781A"/>
    <w:rPr>
      <w:rFonts w:ascii="Times New Roman" w:eastAsia="Times New Roman" w:hAnsi="Times New Roman" w:cs="Times New Roman"/>
      <w:b/>
      <w:sz w:val="32"/>
      <w:szCs w:val="20"/>
      <w:lang w:eastAsia="en-US"/>
    </w:rPr>
  </w:style>
  <w:style w:type="paragraph" w:styleId="BodyText">
    <w:name w:val="Body Text"/>
    <w:basedOn w:val="Normal"/>
    <w:link w:val="BodyTextChar"/>
    <w:rsid w:val="004278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81A"/>
    <w:rPr>
      <w:rFonts w:ascii="Times New Roman" w:eastAsia="Times New Roman" w:hAnsi="Times New Roman" w:cs="Times New Roman"/>
      <w:sz w:val="24"/>
      <w:lang w:eastAsia="en-US"/>
    </w:rPr>
  </w:style>
  <w:style w:type="paragraph" w:styleId="ListBullet">
    <w:name w:val="List Bullet"/>
    <w:basedOn w:val="List"/>
    <w:rsid w:val="0042781A"/>
    <w:pPr>
      <w:numPr>
        <w:numId w:val="12"/>
      </w:numPr>
      <w:tabs>
        <w:tab w:val="clear" w:pos="340"/>
      </w:tabs>
      <w:spacing w:before="40" w:after="40"/>
    </w:pPr>
  </w:style>
  <w:style w:type="character" w:customStyle="1" w:styleId="SpecialBold">
    <w:name w:val="Special Bold"/>
    <w:basedOn w:val="DefaultParagraphFont"/>
    <w:rsid w:val="0042781A"/>
    <w:rPr>
      <w:b/>
      <w:spacing w:val="0"/>
    </w:rPr>
  </w:style>
  <w:style w:type="paragraph" w:styleId="ListBullet2">
    <w:name w:val="List Bullet 2"/>
    <w:basedOn w:val="List2"/>
    <w:rsid w:val="0042781A"/>
    <w:pPr>
      <w:numPr>
        <w:numId w:val="13"/>
      </w:numPr>
      <w:tabs>
        <w:tab w:val="clear" w:pos="680"/>
      </w:tabs>
    </w:pPr>
  </w:style>
  <w:style w:type="character" w:styleId="Emphasis">
    <w:name w:val="Emphasis"/>
    <w:basedOn w:val="DefaultParagraphFont"/>
    <w:qFormat/>
    <w:rsid w:val="0042781A"/>
    <w:rPr>
      <w:i/>
    </w:rPr>
  </w:style>
  <w:style w:type="paragraph" w:customStyle="1" w:styleId="SuperHeading">
    <w:name w:val="SuperHeading"/>
    <w:basedOn w:val="Normal"/>
    <w:rsid w:val="0042781A"/>
    <w:pPr>
      <w:spacing w:before="240" w:after="120"/>
      <w:outlineLvl w:val="0"/>
    </w:pPr>
    <w:rPr>
      <w:rFonts w:ascii="Times New Roman" w:hAnsi="Times New Roman"/>
      <w:b/>
      <w:sz w:val="32"/>
    </w:rPr>
  </w:style>
  <w:style w:type="paragraph" w:customStyle="1" w:styleId="AllowPageBreak">
    <w:name w:val="AllowPageBreak"/>
    <w:rsid w:val="004278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78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8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8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8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8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8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8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81A"/>
    <w:rPr>
      <w:rFonts w:ascii="Courier New" w:eastAsia="Times New Roman" w:hAnsi="Courier New" w:cs="Times New Roman"/>
      <w:i/>
      <w:szCs w:val="20"/>
      <w:lang w:eastAsia="en-US"/>
    </w:rPr>
  </w:style>
  <w:style w:type="paragraph" w:customStyle="1" w:styleId="HeadingBase">
    <w:name w:val="Heading Base"/>
    <w:rsid w:val="004278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81A"/>
    <w:pPr>
      <w:tabs>
        <w:tab w:val="right" w:leader="dot" w:pos="9072"/>
      </w:tabs>
      <w:ind w:left="567"/>
    </w:pPr>
    <w:rPr>
      <w:szCs w:val="22"/>
    </w:rPr>
  </w:style>
  <w:style w:type="paragraph" w:customStyle="1" w:styleId="TOCBase">
    <w:name w:val="TOC Base"/>
    <w:rsid w:val="004278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81A"/>
    <w:pPr>
      <w:tabs>
        <w:tab w:val="right" w:leader="dot" w:pos="9072"/>
      </w:tabs>
      <w:spacing w:before="40" w:after="40"/>
      <w:ind w:left="284"/>
    </w:pPr>
    <w:rPr>
      <w:rFonts w:ascii="Times New Roman" w:hAnsi="Times New Roman"/>
    </w:rPr>
  </w:style>
  <w:style w:type="paragraph" w:styleId="TOC1">
    <w:name w:val="toc 1"/>
    <w:basedOn w:val="TOCBase"/>
    <w:next w:val="Normal"/>
    <w:rsid w:val="004278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8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81A"/>
    <w:rPr>
      <w:rFonts w:ascii="Times New Roman" w:eastAsia="Times New Roman" w:hAnsi="Times New Roman" w:cs="Times New Roman"/>
      <w:sz w:val="16"/>
      <w:lang w:eastAsia="en-US"/>
    </w:rPr>
  </w:style>
  <w:style w:type="paragraph" w:styleId="Title">
    <w:name w:val="Title"/>
    <w:basedOn w:val="HeadingBase"/>
    <w:link w:val="TitleChar"/>
    <w:qFormat/>
    <w:rsid w:val="0042781A"/>
    <w:pPr>
      <w:spacing w:before="5040"/>
      <w:jc w:val="center"/>
    </w:pPr>
    <w:rPr>
      <w:sz w:val="48"/>
      <w:szCs w:val="72"/>
      <w:lang w:val="en-US"/>
    </w:rPr>
  </w:style>
  <w:style w:type="character" w:customStyle="1" w:styleId="TitleChar">
    <w:name w:val="Title Char"/>
    <w:basedOn w:val="DefaultParagraphFont"/>
    <w:link w:val="Title"/>
    <w:rsid w:val="004278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81A"/>
    <w:pPr>
      <w:tabs>
        <w:tab w:val="left" w:pos="3600"/>
        <w:tab w:val="left" w:pos="3958"/>
      </w:tabs>
    </w:pPr>
  </w:style>
  <w:style w:type="paragraph" w:styleId="List">
    <w:name w:val="List"/>
    <w:basedOn w:val="BodyText"/>
    <w:next w:val="BodyText"/>
    <w:rsid w:val="0042781A"/>
    <w:pPr>
      <w:tabs>
        <w:tab w:val="left" w:pos="340"/>
      </w:tabs>
      <w:spacing w:before="60" w:after="60"/>
      <w:ind w:left="340" w:hanging="340"/>
    </w:pPr>
  </w:style>
  <w:style w:type="paragraph" w:customStyle="1" w:styleId="Note">
    <w:name w:val="Note"/>
    <w:basedOn w:val="BodyText"/>
    <w:rsid w:val="004278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81A"/>
    <w:pPr>
      <w:framePr w:wrap="auto" w:hAnchor="text" w:y="6049"/>
    </w:pPr>
    <w:rPr>
      <w:color w:val="000000"/>
      <w:sz w:val="40"/>
    </w:rPr>
  </w:style>
  <w:style w:type="paragraph" w:customStyle="1" w:styleId="TOCTitle">
    <w:name w:val="TOCTitle"/>
    <w:basedOn w:val="Heading1"/>
    <w:rsid w:val="0042781A"/>
    <w:pPr>
      <w:spacing w:after="240"/>
      <w:jc w:val="center"/>
      <w:outlineLvl w:val="9"/>
    </w:pPr>
    <w:rPr>
      <w:caps/>
    </w:rPr>
  </w:style>
  <w:style w:type="paragraph" w:customStyle="1" w:styleId="Version">
    <w:name w:val="Version"/>
    <w:rsid w:val="004278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81A"/>
    <w:pPr>
      <w:keepNext w:val="0"/>
      <w:tabs>
        <w:tab w:val="right" w:pos="4176"/>
      </w:tabs>
      <w:ind w:left="198" w:hanging="198"/>
    </w:pPr>
    <w:rPr>
      <w:rFonts w:ascii="Garamond" w:hAnsi="Garamond"/>
    </w:rPr>
  </w:style>
  <w:style w:type="paragraph" w:styleId="IndexHeading">
    <w:name w:val="index heading"/>
    <w:basedOn w:val="Normal"/>
    <w:next w:val="Index1"/>
    <w:semiHidden/>
    <w:rsid w:val="0042781A"/>
    <w:pPr>
      <w:spacing w:before="120" w:after="120"/>
    </w:pPr>
    <w:rPr>
      <w:rFonts w:ascii="Arial" w:hAnsi="Arial"/>
      <w:b/>
      <w:color w:val="918585"/>
      <w:sz w:val="24"/>
    </w:rPr>
  </w:style>
  <w:style w:type="paragraph" w:styleId="Header">
    <w:name w:val="header"/>
    <w:basedOn w:val="Normal"/>
    <w:link w:val="HeaderChar"/>
    <w:rsid w:val="004278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81A"/>
    <w:rPr>
      <w:rFonts w:ascii="Times New Roman" w:eastAsia="Times New Roman" w:hAnsi="Times New Roman" w:cs="Times New Roman"/>
      <w:sz w:val="16"/>
      <w:szCs w:val="20"/>
      <w:lang w:val="en-GB" w:eastAsia="en-US"/>
    </w:rPr>
  </w:style>
  <w:style w:type="paragraph" w:customStyle="1" w:styleId="Chapter">
    <w:name w:val="Chapter"/>
    <w:basedOn w:val="Normal"/>
    <w:rsid w:val="0042781A"/>
    <w:pPr>
      <w:spacing w:before="240"/>
    </w:pPr>
    <w:rPr>
      <w:rFonts w:ascii="Times New Roman" w:hAnsi="Times New Roman"/>
      <w:smallCaps/>
      <w:spacing w:val="80"/>
      <w:sz w:val="28"/>
    </w:rPr>
  </w:style>
  <w:style w:type="paragraph" w:customStyle="1" w:styleId="InChapter">
    <w:name w:val="InChapter"/>
    <w:basedOn w:val="Heading3"/>
    <w:rsid w:val="0042781A"/>
    <w:pPr>
      <w:spacing w:after="240"/>
      <w:outlineLvl w:val="9"/>
    </w:pPr>
    <w:rPr>
      <w:noProof/>
    </w:rPr>
  </w:style>
  <w:style w:type="paragraph" w:styleId="Index2">
    <w:name w:val="index 2"/>
    <w:basedOn w:val="Normal"/>
    <w:next w:val="Normal"/>
    <w:semiHidden/>
    <w:rsid w:val="0042781A"/>
    <w:pPr>
      <w:tabs>
        <w:tab w:val="right" w:pos="4176"/>
      </w:tabs>
      <w:ind w:left="568" w:hanging="284"/>
    </w:pPr>
    <w:rPr>
      <w:rFonts w:ascii="Garamond" w:hAnsi="Garamond"/>
    </w:rPr>
  </w:style>
  <w:style w:type="paragraph" w:customStyle="1" w:styleId="Byline">
    <w:name w:val="Byline"/>
    <w:rsid w:val="004278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81A"/>
    <w:pPr>
      <w:tabs>
        <w:tab w:val="clear" w:pos="3600"/>
        <w:tab w:val="clear" w:pos="3958"/>
      </w:tabs>
      <w:jc w:val="right"/>
    </w:pPr>
  </w:style>
  <w:style w:type="paragraph" w:styleId="Caption">
    <w:name w:val="caption"/>
    <w:basedOn w:val="BodyText"/>
    <w:next w:val="Normal"/>
    <w:qFormat/>
    <w:rsid w:val="0042781A"/>
    <w:pPr>
      <w:framePr w:w="2268" w:hSpace="181" w:vSpace="181" w:wrap="around" w:vAnchor="text" w:hAnchor="page" w:x="1135" w:y="285" w:anchorLock="1"/>
    </w:pPr>
    <w:rPr>
      <w:i/>
    </w:rPr>
  </w:style>
  <w:style w:type="paragraph" w:customStyle="1" w:styleId="MiniTOCTitle">
    <w:name w:val="MiniTOCTitle"/>
    <w:basedOn w:val="Heading4"/>
    <w:rsid w:val="0042781A"/>
    <w:pPr>
      <w:spacing w:before="240"/>
      <w:outlineLvl w:val="9"/>
    </w:pPr>
    <w:rPr>
      <w:noProof/>
      <w:sz w:val="24"/>
    </w:rPr>
  </w:style>
  <w:style w:type="paragraph" w:customStyle="1" w:styleId="MiniTOCItem">
    <w:name w:val="MiniTOCItem"/>
    <w:basedOn w:val="ListBullet"/>
    <w:rsid w:val="0042781A"/>
    <w:pPr>
      <w:numPr>
        <w:numId w:val="0"/>
      </w:numPr>
      <w:tabs>
        <w:tab w:val="right" w:leader="dot" w:pos="6521"/>
      </w:tabs>
      <w:spacing w:before="0" w:after="0"/>
    </w:pPr>
  </w:style>
  <w:style w:type="paragraph" w:customStyle="1" w:styleId="TOFTitle">
    <w:name w:val="TOFTitle"/>
    <w:basedOn w:val="TOCTitle"/>
    <w:rsid w:val="0042781A"/>
  </w:style>
  <w:style w:type="paragraph" w:styleId="TableofFigures">
    <w:name w:val="table of figures"/>
    <w:basedOn w:val="Normal"/>
    <w:next w:val="Normal"/>
    <w:semiHidden/>
    <w:rsid w:val="0042781A"/>
    <w:pPr>
      <w:tabs>
        <w:tab w:val="right" w:leader="dot" w:pos="9072"/>
      </w:tabs>
      <w:ind w:left="970" w:hanging="403"/>
    </w:pPr>
    <w:rPr>
      <w:rFonts w:ascii="Times New Roman" w:hAnsi="Times New Roman"/>
      <w:b/>
    </w:rPr>
  </w:style>
  <w:style w:type="paragraph" w:styleId="ListNumber">
    <w:name w:val="List Number"/>
    <w:basedOn w:val="List"/>
    <w:rsid w:val="0042781A"/>
    <w:pPr>
      <w:numPr>
        <w:numId w:val="15"/>
      </w:numPr>
      <w:tabs>
        <w:tab w:val="clear" w:pos="340"/>
      </w:tabs>
    </w:pPr>
  </w:style>
  <w:style w:type="character" w:customStyle="1" w:styleId="WingdingSymbols">
    <w:name w:val="Wingding Symbols"/>
    <w:rsid w:val="0042781A"/>
    <w:rPr>
      <w:rFonts w:ascii="Wingdings" w:hAnsi="Wingdings"/>
    </w:rPr>
  </w:style>
  <w:style w:type="paragraph" w:customStyle="1" w:styleId="TableHeading">
    <w:name w:val="Table Heading"/>
    <w:basedOn w:val="HeadingBase"/>
    <w:rsid w:val="0042781A"/>
    <w:pPr>
      <w:keepLines/>
      <w:pBdr>
        <w:bottom w:val="single" w:sz="6" w:space="1" w:color="918585"/>
      </w:pBdr>
      <w:spacing w:before="240"/>
    </w:pPr>
  </w:style>
  <w:style w:type="character" w:customStyle="1" w:styleId="HotSpot">
    <w:name w:val="HotSpot"/>
    <w:rsid w:val="0042781A"/>
    <w:rPr>
      <w:color w:val="0033CC"/>
      <w:u w:val="none"/>
    </w:rPr>
  </w:style>
  <w:style w:type="paragraph" w:customStyle="1" w:styleId="BodyTextRight">
    <w:name w:val="Body Text Right"/>
    <w:basedOn w:val="BodyText"/>
    <w:rsid w:val="0042781A"/>
    <w:pPr>
      <w:spacing w:before="0" w:after="0"/>
      <w:jc w:val="right"/>
    </w:pPr>
  </w:style>
  <w:style w:type="paragraph" w:styleId="Index3">
    <w:name w:val="index 3"/>
    <w:basedOn w:val="ListNumber2"/>
    <w:next w:val="Normal"/>
    <w:semiHidden/>
    <w:rsid w:val="0042781A"/>
    <w:pPr>
      <w:numPr>
        <w:numId w:val="0"/>
      </w:numPr>
      <w:tabs>
        <w:tab w:val="right" w:leader="dot" w:pos="4176"/>
      </w:tabs>
    </w:pPr>
  </w:style>
  <w:style w:type="paragraph" w:styleId="ListNumber2">
    <w:name w:val="List Number 2"/>
    <w:basedOn w:val="List2"/>
    <w:rsid w:val="0042781A"/>
    <w:pPr>
      <w:numPr>
        <w:numId w:val="10"/>
      </w:numPr>
      <w:tabs>
        <w:tab w:val="clear" w:pos="1060"/>
      </w:tabs>
    </w:pPr>
  </w:style>
  <w:style w:type="paragraph" w:customStyle="1" w:styleId="MarginNote">
    <w:name w:val="Margin Note"/>
    <w:basedOn w:val="BodyText"/>
    <w:rsid w:val="004278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8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8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81A"/>
    <w:rPr>
      <w:sz w:val="32"/>
    </w:rPr>
  </w:style>
  <w:style w:type="paragraph" w:customStyle="1" w:styleId="HeadingProcedure">
    <w:name w:val="Heading Procedure"/>
    <w:basedOn w:val="HeadingBase"/>
    <w:next w:val="Normal"/>
    <w:rsid w:val="0042781A"/>
    <w:pPr>
      <w:tabs>
        <w:tab w:val="left" w:pos="0"/>
      </w:tabs>
      <w:spacing w:before="120" w:after="60"/>
    </w:pPr>
    <w:rPr>
      <w:i/>
      <w:color w:val="918585"/>
      <w:sz w:val="22"/>
    </w:rPr>
  </w:style>
  <w:style w:type="paragraph" w:customStyle="1" w:styleId="TableBodyText">
    <w:name w:val="Table Body Text"/>
    <w:basedOn w:val="BodyText"/>
    <w:rsid w:val="0042781A"/>
    <w:pPr>
      <w:spacing w:before="60" w:after="60"/>
    </w:pPr>
  </w:style>
  <w:style w:type="paragraph" w:styleId="ListContinue">
    <w:name w:val="List Continue"/>
    <w:basedOn w:val="List"/>
    <w:rsid w:val="0042781A"/>
    <w:pPr>
      <w:ind w:firstLine="0"/>
    </w:pPr>
  </w:style>
  <w:style w:type="paragraph" w:customStyle="1" w:styleId="ListNote">
    <w:name w:val="List Note"/>
    <w:basedOn w:val="List"/>
    <w:rsid w:val="0042781A"/>
    <w:pPr>
      <w:pBdr>
        <w:top w:val="single" w:sz="6" w:space="2" w:color="918585"/>
        <w:bottom w:val="single" w:sz="6" w:space="2" w:color="918585"/>
      </w:pBdr>
      <w:tabs>
        <w:tab w:val="left" w:pos="1021"/>
      </w:tabs>
      <w:ind w:firstLine="0"/>
    </w:pPr>
  </w:style>
  <w:style w:type="paragraph" w:customStyle="1" w:styleId="Warning">
    <w:name w:val="Warning"/>
    <w:basedOn w:val="BodyText"/>
    <w:rsid w:val="0042781A"/>
    <w:pPr>
      <w:shd w:val="clear" w:color="auto" w:fill="D9D9D9"/>
      <w:tabs>
        <w:tab w:val="left" w:pos="992"/>
      </w:tabs>
      <w:ind w:left="119" w:right="119"/>
    </w:pPr>
    <w:rPr>
      <w:sz w:val="20"/>
    </w:rPr>
  </w:style>
  <w:style w:type="paragraph" w:customStyle="1" w:styleId="MarginIcons">
    <w:name w:val="Margin Icons"/>
    <w:basedOn w:val="BodyText"/>
    <w:rsid w:val="004278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81A"/>
    <w:rPr>
      <w:rFonts w:ascii="Courier New" w:hAnsi="Courier New"/>
    </w:rPr>
  </w:style>
  <w:style w:type="paragraph" w:customStyle="1" w:styleId="NoteBullet">
    <w:name w:val="Note Bullet"/>
    <w:basedOn w:val="Note"/>
    <w:rsid w:val="0042781A"/>
    <w:pPr>
      <w:tabs>
        <w:tab w:val="clear" w:pos="680"/>
      </w:tabs>
      <w:spacing w:before="60" w:after="60"/>
    </w:pPr>
  </w:style>
  <w:style w:type="paragraph" w:customStyle="1" w:styleId="SubHeading2">
    <w:name w:val="SubHeading2"/>
    <w:basedOn w:val="HeadingBase"/>
    <w:rsid w:val="0042781A"/>
    <w:pPr>
      <w:spacing w:before="240" w:after="60"/>
    </w:pPr>
    <w:rPr>
      <w:sz w:val="20"/>
    </w:rPr>
  </w:style>
  <w:style w:type="paragraph" w:customStyle="1" w:styleId="SubHeading1">
    <w:name w:val="SubHeading1"/>
    <w:basedOn w:val="HeadingBase"/>
    <w:rsid w:val="0042781A"/>
    <w:pPr>
      <w:spacing w:before="240" w:after="60"/>
    </w:pPr>
    <w:rPr>
      <w:color w:val="918585"/>
      <w:sz w:val="22"/>
    </w:rPr>
  </w:style>
  <w:style w:type="paragraph" w:customStyle="1" w:styleId="SideHeading">
    <w:name w:val="Side Heading"/>
    <w:basedOn w:val="HeadingBase"/>
    <w:rsid w:val="004278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81A"/>
    <w:pPr>
      <w:tabs>
        <w:tab w:val="num" w:pos="360"/>
      </w:tabs>
    </w:pPr>
  </w:style>
  <w:style w:type="paragraph" w:styleId="PlainText">
    <w:name w:val="Plain Text"/>
    <w:basedOn w:val="Normal"/>
    <w:link w:val="PlainTextChar"/>
    <w:rsid w:val="0042781A"/>
    <w:rPr>
      <w:sz w:val="20"/>
    </w:rPr>
  </w:style>
  <w:style w:type="character" w:customStyle="1" w:styleId="PlainTextChar">
    <w:name w:val="Plain Text Char"/>
    <w:basedOn w:val="DefaultParagraphFont"/>
    <w:link w:val="PlainText"/>
    <w:rsid w:val="0042781A"/>
    <w:rPr>
      <w:rFonts w:ascii="Courier New" w:eastAsia="Times New Roman" w:hAnsi="Courier New" w:cs="Times New Roman"/>
      <w:sz w:val="20"/>
      <w:szCs w:val="20"/>
      <w:lang w:eastAsia="en-US"/>
    </w:rPr>
  </w:style>
  <w:style w:type="character" w:customStyle="1" w:styleId="MenuOption">
    <w:name w:val="Menu Option"/>
    <w:basedOn w:val="DefaultParagraphFont"/>
    <w:rsid w:val="0042781A"/>
    <w:rPr>
      <w:b/>
      <w:smallCaps/>
    </w:rPr>
  </w:style>
  <w:style w:type="paragraph" w:customStyle="1" w:styleId="TableListNumber">
    <w:name w:val="Table List Number"/>
    <w:basedOn w:val="ListNumber"/>
    <w:rsid w:val="0042781A"/>
    <w:pPr>
      <w:numPr>
        <w:numId w:val="0"/>
      </w:numPr>
    </w:pPr>
  </w:style>
  <w:style w:type="paragraph" w:styleId="TOC4">
    <w:name w:val="toc 4"/>
    <w:basedOn w:val="TOCBase"/>
    <w:next w:val="Normal"/>
    <w:semiHidden/>
    <w:rsid w:val="0042781A"/>
    <w:pPr>
      <w:tabs>
        <w:tab w:val="right" w:leader="dot" w:pos="9071"/>
      </w:tabs>
      <w:ind w:left="1701"/>
    </w:pPr>
  </w:style>
  <w:style w:type="paragraph" w:customStyle="1" w:styleId="ListAlpha">
    <w:name w:val="List Alpha"/>
    <w:basedOn w:val="List"/>
    <w:rsid w:val="0042781A"/>
    <w:pPr>
      <w:numPr>
        <w:numId w:val="9"/>
      </w:numPr>
    </w:pPr>
  </w:style>
  <w:style w:type="paragraph" w:customStyle="1" w:styleId="ListAlpha2">
    <w:name w:val="List Alpha 2"/>
    <w:basedOn w:val="List2"/>
    <w:rsid w:val="0042781A"/>
    <w:pPr>
      <w:numPr>
        <w:numId w:val="8"/>
      </w:numPr>
    </w:pPr>
  </w:style>
  <w:style w:type="paragraph" w:styleId="List2">
    <w:name w:val="List 2"/>
    <w:basedOn w:val="BodyText"/>
    <w:rsid w:val="0042781A"/>
    <w:pPr>
      <w:tabs>
        <w:tab w:val="left" w:pos="680"/>
      </w:tabs>
      <w:spacing w:before="60" w:after="60"/>
      <w:ind w:left="680" w:hanging="340"/>
    </w:pPr>
  </w:style>
  <w:style w:type="paragraph" w:styleId="List3">
    <w:name w:val="List 3"/>
    <w:basedOn w:val="BodyText"/>
    <w:rsid w:val="0042781A"/>
    <w:pPr>
      <w:tabs>
        <w:tab w:val="left" w:pos="1021"/>
      </w:tabs>
      <w:spacing w:before="60" w:after="60"/>
      <w:ind w:left="1020" w:hanging="340"/>
    </w:pPr>
  </w:style>
  <w:style w:type="paragraph" w:styleId="List4">
    <w:name w:val="List 4"/>
    <w:basedOn w:val="BodyText"/>
    <w:rsid w:val="0042781A"/>
    <w:pPr>
      <w:tabs>
        <w:tab w:val="left" w:pos="1361"/>
      </w:tabs>
      <w:spacing w:before="60" w:after="60"/>
      <w:ind w:left="1361" w:hanging="340"/>
    </w:pPr>
  </w:style>
  <w:style w:type="paragraph" w:styleId="List5">
    <w:name w:val="List 5"/>
    <w:basedOn w:val="BodyText"/>
    <w:rsid w:val="0042781A"/>
    <w:pPr>
      <w:tabs>
        <w:tab w:val="left" w:pos="1701"/>
      </w:tabs>
      <w:spacing w:before="60" w:after="60"/>
      <w:ind w:left="1701" w:hanging="340"/>
    </w:pPr>
  </w:style>
  <w:style w:type="paragraph" w:styleId="ListBullet3">
    <w:name w:val="List Bullet 3"/>
    <w:basedOn w:val="List3"/>
    <w:rsid w:val="0042781A"/>
    <w:pPr>
      <w:numPr>
        <w:numId w:val="14"/>
      </w:numPr>
      <w:tabs>
        <w:tab w:val="clear" w:pos="1021"/>
      </w:tabs>
      <w:ind w:left="1037" w:hanging="357"/>
    </w:pPr>
  </w:style>
  <w:style w:type="paragraph" w:styleId="ListBullet4">
    <w:name w:val="List Bullet 4"/>
    <w:basedOn w:val="List4"/>
    <w:rsid w:val="0042781A"/>
    <w:pPr>
      <w:numPr>
        <w:numId w:val="3"/>
      </w:numPr>
      <w:tabs>
        <w:tab w:val="clear" w:pos="1361"/>
      </w:tabs>
    </w:pPr>
  </w:style>
  <w:style w:type="paragraph" w:styleId="ListBullet5">
    <w:name w:val="List Bullet 5"/>
    <w:basedOn w:val="List5"/>
    <w:rsid w:val="0042781A"/>
    <w:pPr>
      <w:numPr>
        <w:numId w:val="4"/>
      </w:numPr>
    </w:pPr>
  </w:style>
  <w:style w:type="paragraph" w:styleId="ListContinue2">
    <w:name w:val="List Continue 2"/>
    <w:basedOn w:val="List2"/>
    <w:rsid w:val="0042781A"/>
    <w:pPr>
      <w:ind w:firstLine="0"/>
    </w:pPr>
  </w:style>
  <w:style w:type="paragraph" w:styleId="ListContinue3">
    <w:name w:val="List Continue 3"/>
    <w:basedOn w:val="List3"/>
    <w:rsid w:val="0042781A"/>
    <w:pPr>
      <w:ind w:left="1021" w:firstLine="0"/>
    </w:pPr>
  </w:style>
  <w:style w:type="paragraph" w:styleId="ListContinue4">
    <w:name w:val="List Continue 4"/>
    <w:basedOn w:val="List4"/>
    <w:rsid w:val="0042781A"/>
    <w:pPr>
      <w:ind w:firstLine="0"/>
    </w:pPr>
  </w:style>
  <w:style w:type="paragraph" w:styleId="ListContinue5">
    <w:name w:val="List Continue 5"/>
    <w:basedOn w:val="List5"/>
    <w:rsid w:val="0042781A"/>
    <w:pPr>
      <w:ind w:firstLine="0"/>
    </w:pPr>
  </w:style>
  <w:style w:type="paragraph" w:styleId="ListNumber3">
    <w:name w:val="List Number 3"/>
    <w:basedOn w:val="List3"/>
    <w:rsid w:val="0042781A"/>
    <w:pPr>
      <w:numPr>
        <w:numId w:val="5"/>
      </w:numPr>
    </w:pPr>
  </w:style>
  <w:style w:type="paragraph" w:styleId="ListNumber4">
    <w:name w:val="List Number 4"/>
    <w:basedOn w:val="List4"/>
    <w:rsid w:val="0042781A"/>
    <w:pPr>
      <w:numPr>
        <w:numId w:val="6"/>
      </w:numPr>
    </w:pPr>
  </w:style>
  <w:style w:type="paragraph" w:styleId="ListNumber5">
    <w:name w:val="List Number 5"/>
    <w:basedOn w:val="List5"/>
    <w:rsid w:val="0042781A"/>
    <w:pPr>
      <w:numPr>
        <w:numId w:val="7"/>
      </w:numPr>
    </w:pPr>
  </w:style>
  <w:style w:type="paragraph" w:styleId="BlockText">
    <w:name w:val="Block Text"/>
    <w:basedOn w:val="Normal"/>
    <w:rsid w:val="0042781A"/>
    <w:pPr>
      <w:spacing w:after="120"/>
      <w:ind w:left="1440" w:right="1440"/>
    </w:pPr>
  </w:style>
  <w:style w:type="character" w:customStyle="1" w:styleId="Subscript">
    <w:name w:val="Subscript"/>
    <w:basedOn w:val="DefaultParagraphFont"/>
    <w:rsid w:val="0042781A"/>
    <w:rPr>
      <w:sz w:val="16"/>
      <w:vertAlign w:val="subscript"/>
    </w:rPr>
  </w:style>
  <w:style w:type="character" w:customStyle="1" w:styleId="Superscript">
    <w:name w:val="Superscript"/>
    <w:basedOn w:val="DefaultParagraphFont"/>
    <w:rsid w:val="0042781A"/>
    <w:rPr>
      <w:sz w:val="16"/>
      <w:vertAlign w:val="superscript"/>
    </w:rPr>
  </w:style>
  <w:style w:type="character" w:customStyle="1" w:styleId="Symbols">
    <w:name w:val="Symbols"/>
    <w:basedOn w:val="DefaultParagraphFont"/>
    <w:rsid w:val="0042781A"/>
    <w:rPr>
      <w:rFonts w:ascii="Symbol" w:hAnsi="Symbol"/>
    </w:rPr>
  </w:style>
  <w:style w:type="character" w:customStyle="1" w:styleId="MenuOptions">
    <w:name w:val="Menu Options"/>
    <w:basedOn w:val="DefaultParagraphFont"/>
    <w:rsid w:val="0042781A"/>
    <w:rPr>
      <w:rFonts w:ascii="Arial Narrow" w:hAnsi="Arial Narrow"/>
      <w:smallCaps/>
    </w:rPr>
  </w:style>
  <w:style w:type="character" w:customStyle="1" w:styleId="Buttons">
    <w:name w:val="Buttons"/>
    <w:basedOn w:val="DefaultParagraphFont"/>
    <w:rsid w:val="0042781A"/>
    <w:rPr>
      <w:b/>
    </w:rPr>
  </w:style>
  <w:style w:type="character" w:customStyle="1" w:styleId="Underlined">
    <w:name w:val="Underlined"/>
    <w:basedOn w:val="DefaultParagraphFont"/>
    <w:rsid w:val="0042781A"/>
    <w:rPr>
      <w:u w:val="single"/>
    </w:rPr>
  </w:style>
  <w:style w:type="paragraph" w:customStyle="1" w:styleId="TableBodyTextRight">
    <w:name w:val="Table Body Text Right"/>
    <w:basedOn w:val="TableBodyText"/>
    <w:rsid w:val="0042781A"/>
    <w:pPr>
      <w:widowControl w:val="0"/>
      <w:autoSpaceDE w:val="0"/>
      <w:autoSpaceDN w:val="0"/>
      <w:adjustRightInd w:val="0"/>
      <w:jc w:val="right"/>
    </w:pPr>
    <w:rPr>
      <w:rFonts w:cs="Arial"/>
      <w:szCs w:val="18"/>
    </w:rPr>
  </w:style>
  <w:style w:type="paragraph" w:customStyle="1" w:styleId="CopyrightText">
    <w:name w:val="Copyright Text"/>
    <w:basedOn w:val="BodyText"/>
    <w:rsid w:val="0042781A"/>
    <w:rPr>
      <w:sz w:val="18"/>
    </w:rPr>
  </w:style>
  <w:style w:type="paragraph" w:customStyle="1" w:styleId="BodySmallRight">
    <w:name w:val="Body Small Right"/>
    <w:basedOn w:val="BodyTextRight"/>
    <w:rsid w:val="0042781A"/>
    <w:rPr>
      <w:sz w:val="18"/>
      <w:szCs w:val="18"/>
    </w:rPr>
  </w:style>
  <w:style w:type="paragraph" w:customStyle="1" w:styleId="MarginEdition">
    <w:name w:val="Margin Edition"/>
    <w:basedOn w:val="MarginNote"/>
    <w:rsid w:val="0042781A"/>
    <w:pPr>
      <w:spacing w:before="0" w:after="0"/>
    </w:pPr>
    <w:rPr>
      <w:rFonts w:ascii="Times New Roman" w:hAnsi="Times New Roman"/>
      <w:color w:val="999999"/>
    </w:rPr>
  </w:style>
  <w:style w:type="paragraph" w:customStyle="1" w:styleId="Spacer">
    <w:name w:val="Spacer"/>
    <w:basedOn w:val="Normal"/>
    <w:rsid w:val="0042781A"/>
    <w:rPr>
      <w:sz w:val="2"/>
      <w:szCs w:val="2"/>
    </w:rPr>
  </w:style>
  <w:style w:type="character" w:customStyle="1" w:styleId="Small">
    <w:name w:val="Small"/>
    <w:basedOn w:val="DefaultParagraphFont"/>
    <w:rsid w:val="0042781A"/>
    <w:rPr>
      <w:sz w:val="16"/>
    </w:rPr>
  </w:style>
  <w:style w:type="paragraph" w:customStyle="1" w:styleId="WideTable">
    <w:name w:val="Wide Table"/>
    <w:basedOn w:val="Normal"/>
    <w:rsid w:val="0042781A"/>
    <w:pPr>
      <w:ind w:left="-1418"/>
    </w:pPr>
    <w:rPr>
      <w:sz w:val="2"/>
      <w:szCs w:val="2"/>
    </w:rPr>
  </w:style>
  <w:style w:type="character" w:styleId="PageNumber">
    <w:name w:val="page number"/>
    <w:basedOn w:val="DefaultParagraphFont"/>
    <w:rsid w:val="0042781A"/>
  </w:style>
  <w:style w:type="paragraph" w:styleId="Quote">
    <w:name w:val="Quote"/>
    <w:basedOn w:val="Heading1"/>
    <w:link w:val="QuoteChar"/>
    <w:qFormat/>
    <w:rsid w:val="0042781A"/>
    <w:rPr>
      <w:b w:val="0"/>
      <w:sz w:val="72"/>
      <w:szCs w:val="72"/>
      <w:lang w:val="en-NZ"/>
    </w:rPr>
  </w:style>
  <w:style w:type="character" w:customStyle="1" w:styleId="QuoteChar">
    <w:name w:val="Quote Char"/>
    <w:basedOn w:val="DefaultParagraphFont"/>
    <w:link w:val="Quote"/>
    <w:rsid w:val="004278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81A"/>
    <w:pPr>
      <w:pageBreakBefore/>
    </w:pPr>
  </w:style>
  <w:style w:type="paragraph" w:customStyle="1" w:styleId="Border">
    <w:name w:val="Border"/>
    <w:basedOn w:val="Normal"/>
    <w:qFormat/>
    <w:rsid w:val="004278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81A"/>
    <w:rPr>
      <w:b/>
      <w:bCs/>
      <w:i/>
      <w:iCs/>
      <w:color w:val="auto"/>
    </w:rPr>
  </w:style>
  <w:style w:type="paragraph" w:styleId="IntenseQuote">
    <w:name w:val="Intense Quote"/>
    <w:basedOn w:val="Normal"/>
    <w:next w:val="Normal"/>
    <w:link w:val="IntenseQuoteChar"/>
    <w:uiPriority w:val="30"/>
    <w:qFormat/>
    <w:rsid w:val="004278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8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81A"/>
    <w:rPr>
      <w:smallCaps/>
      <w:color w:val="auto"/>
      <w:u w:val="single"/>
    </w:rPr>
  </w:style>
  <w:style w:type="character" w:styleId="IntenseReference">
    <w:name w:val="Intense Reference"/>
    <w:basedOn w:val="DefaultParagraphFont"/>
    <w:uiPriority w:val="32"/>
    <w:qFormat/>
    <w:rsid w:val="0042781A"/>
    <w:rPr>
      <w:b/>
      <w:bCs/>
      <w:smallCaps/>
      <w:color w:val="auto"/>
      <w:spacing w:val="5"/>
      <w:u w:val="single"/>
    </w:rPr>
  </w:style>
  <w:style w:type="paragraph" w:customStyle="1" w:styleId="2ColumnHeading">
    <w:name w:val="2Column Heading"/>
    <w:basedOn w:val="BodyText"/>
    <w:qFormat/>
    <w:rsid w:val="0042781A"/>
    <w:pPr>
      <w:spacing w:after="60"/>
      <w:ind w:left="-2268"/>
    </w:pPr>
    <w:rPr>
      <w:b/>
    </w:rPr>
  </w:style>
  <w:style w:type="paragraph" w:customStyle="1" w:styleId="Heading1TOC">
    <w:name w:val="Heading1 TOC"/>
    <w:basedOn w:val="Normal"/>
    <w:qFormat/>
    <w:rsid w:val="0042781A"/>
    <w:pPr>
      <w:spacing w:before="240" w:after="120"/>
    </w:pPr>
    <w:rPr>
      <w:rFonts w:ascii="Times New Roman" w:hAnsi="Times New Roman"/>
      <w:b/>
      <w:sz w:val="32"/>
    </w:rPr>
  </w:style>
  <w:style w:type="paragraph" w:customStyle="1" w:styleId="Heading2TOC">
    <w:name w:val="Heading2 TOC"/>
    <w:basedOn w:val="Normal"/>
    <w:qFormat/>
    <w:rsid w:val="0042781A"/>
    <w:pPr>
      <w:spacing w:before="240" w:after="60"/>
    </w:pPr>
    <w:rPr>
      <w:rFonts w:ascii="Times New Roman" w:hAnsi="Times New Roman"/>
      <w:b/>
      <w:sz w:val="28"/>
    </w:rPr>
  </w:style>
  <w:style w:type="character" w:customStyle="1" w:styleId="Underline">
    <w:name w:val="Underline"/>
    <w:basedOn w:val="DefaultParagraphFont"/>
    <w:qFormat/>
    <w:rsid w:val="0042781A"/>
    <w:rPr>
      <w:u w:val="single"/>
    </w:rPr>
  </w:style>
  <w:style w:type="character" w:customStyle="1" w:styleId="BoldandItalics">
    <w:name w:val="Bold and Italics"/>
    <w:qFormat/>
    <w:rsid w:val="0042781A"/>
    <w:rPr>
      <w:b/>
      <w:i/>
      <w:u w:val="none"/>
    </w:rPr>
  </w:style>
  <w:style w:type="paragraph" w:styleId="BalloonText">
    <w:name w:val="Balloon Text"/>
    <w:basedOn w:val="Normal"/>
    <w:link w:val="BalloonTextChar"/>
    <w:rsid w:val="0042781A"/>
    <w:rPr>
      <w:rFonts w:ascii="Tahoma" w:hAnsi="Tahoma" w:cs="Tahoma"/>
      <w:sz w:val="16"/>
      <w:szCs w:val="16"/>
    </w:rPr>
  </w:style>
  <w:style w:type="character" w:customStyle="1" w:styleId="BalloonTextChar">
    <w:name w:val="Balloon Text Char"/>
    <w:basedOn w:val="DefaultParagraphFont"/>
    <w:link w:val="BalloonText"/>
    <w:rsid w:val="004278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8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8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81A"/>
    <w:rPr>
      <w:b/>
      <w:color w:val="660033"/>
      <w:spacing w:val="0"/>
    </w:rPr>
  </w:style>
  <w:style w:type="paragraph" w:customStyle="1" w:styleId="Nameditemlist">
    <w:name w:val="Named item list"/>
    <w:basedOn w:val="BodyText"/>
    <w:qFormat/>
    <w:rsid w:val="0042781A"/>
    <w:pPr>
      <w:tabs>
        <w:tab w:val="left" w:pos="2835"/>
      </w:tabs>
      <w:ind w:left="2835" w:hanging="2835"/>
    </w:pPr>
  </w:style>
  <w:style w:type="paragraph" w:customStyle="1" w:styleId="BodyTextnopadding">
    <w:name w:val="Body Text no padding"/>
    <w:basedOn w:val="BodyText"/>
    <w:qFormat/>
    <w:rsid w:val="0042781A"/>
    <w:pPr>
      <w:spacing w:before="0" w:after="0"/>
    </w:pPr>
  </w:style>
  <w:style w:type="paragraph" w:customStyle="1" w:styleId="BodyTextBold">
    <w:name w:val="Body Text Bold"/>
    <w:basedOn w:val="BodyText"/>
    <w:qFormat/>
    <w:rsid w:val="0042781A"/>
    <w:rPr>
      <w:b/>
    </w:rPr>
  </w:style>
  <w:style w:type="character" w:styleId="Hyperlink">
    <w:name w:val="Hyperlink"/>
    <w:basedOn w:val="DefaultParagraphFont"/>
    <w:uiPriority w:val="99"/>
    <w:unhideWhenUsed/>
    <w:rsid w:val="00D36A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5396</Characters>
  <Application>Microsoft Office Word</Application>
  <DocSecurity>0</DocSecurity>
  <Lines>168</Lines>
  <Paragraphs>149</Paragraphs>
  <ScaleCrop>false</ScaleCrop>
  <Company>Author-it Software Corporation Ltd.</Company>
  <LinksUpToDate>false</LinksUpToDate>
  <CharactersWithSpaces>5969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HLTANA007 Monitor medications in the anaesthetic environment</dc:title>
  <dc:subject>Approved</dc:subject>
  <dc:creator>SkillsIQ</dc:creator>
  <cp:keywords>Release: 1</cp:keywords>
  <dc:description>Review Date: 12 April 2008</dc:description>
  <cp:lastModifiedBy>HSD_TPCMSd.prod</cp:lastModifiedBy>
  <cp:revision>3</cp:revision>
  <dcterms:created xsi:type="dcterms:W3CDTF">2022-04-08T08:50:00Z</dcterms:created>
  <dcterms:modified xsi:type="dcterms:W3CDTF">2022-04-08T08:50:00Z</dcterms:modified>
</cp:coreProperties>
</file>