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D05" w:rsidP="00891D05">
      <w:pPr>
        <w:pStyle w:val="Title"/>
      </w:pPr>
      <w:r>
        <w:fldChar w:fldCharType="begin"/>
      </w:r>
      <w:r>
        <w:instrText xml:space="preserve"> TITLE   \* MERGEFORMAT </w:instrText>
      </w:r>
      <w:r>
        <w:fldChar w:fldCharType="separate"/>
      </w:r>
      <w:r>
        <w:t>HLTANA006 Assist with clinical procedures used in anaesthesia</w:t>
      </w:r>
      <w:r>
        <w:fldChar w:fldCharType="end"/>
      </w:r>
    </w:p>
    <w:p w:rsidR="00891D05" w:rsidP="00891D05">
      <w:pPr>
        <w:pStyle w:val="Version"/>
        <w:sectPr w:rsidSect="00C928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285E" w:rsidP="00C9285E">
      <w:pPr>
        <w:pStyle w:val="SuperHeading"/>
      </w:pPr>
      <w:r w:rsidRPr="00C9285E">
        <w:t>HLTANA006 Assist with clinical procedures used in anaesthesia</w:t>
      </w:r>
    </w:p>
    <w:p w:rsidR="00000000" w:rsidRPr="00C9285E" w:rsidP="00C9285E">
      <w:pPr>
        <w:pStyle w:val="Heading1"/>
      </w:pPr>
      <w:bookmarkStart w:id="1" w:name="O_855464"/>
      <w:bookmarkEnd w:id="1"/>
      <w:r w:rsidRPr="00C9285E">
        <w:t>Modification History</w:t>
      </w:r>
    </w:p>
    <w:tbl>
      <w:tblPr>
        <w:tblW w:w="0" w:type="auto"/>
        <w:tblLayout w:type="fixed"/>
        <w:tblCellMar>
          <w:left w:w="62" w:type="dxa"/>
          <w:right w:w="62" w:type="dxa"/>
        </w:tblCellMar>
        <w:tblLook w:val="0000"/>
      </w:tblPr>
      <w:tblGrid>
        <w:gridCol w:w="2790"/>
        <w:gridCol w:w="6344"/>
      </w:tblGrid>
      <w:tr w:rsidTr="00C9285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85E" w:rsidP="00C9285E">
            <w:pPr>
              <w:pStyle w:val="BodyText"/>
            </w:pPr>
            <w:r w:rsidRPr="00C9285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85E">
            <w:pPr>
              <w:pStyle w:val="BodyText"/>
              <w:rPr>
                <w:lang w:val="en-NZ"/>
              </w:rPr>
            </w:pPr>
            <w:r w:rsidRPr="00C9285E">
              <w:rPr>
                <w:rStyle w:val="SpecialBold"/>
              </w:rPr>
              <w:t>Comments</w:t>
            </w:r>
          </w:p>
        </w:tc>
      </w:tr>
      <w:tr w:rsidTr="00C9285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85E">
            <w:pPr>
              <w:pStyle w:val="BodyText"/>
              <w:rPr>
                <w:lang w:val="en-NZ"/>
              </w:rPr>
            </w:pPr>
            <w:r w:rsidRPr="00C9285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85E" w:rsidP="00C9285E">
            <w:pPr>
              <w:pStyle w:val="BodyText"/>
            </w:pPr>
            <w:r w:rsidRPr="00C9285E">
              <w:t xml:space="preserve">This version was released in </w:t>
            </w:r>
            <w:r w:rsidRPr="00C9285E">
              <w:rPr>
                <w:rStyle w:val="Emphasis"/>
              </w:rPr>
              <w:t>HLT Health Training Package release 2.0</w:t>
            </w:r>
            <w:r w:rsidRPr="00C9285E">
              <w:t xml:space="preserve"> and meets the requirements of the 2012 Standards for Training Packages.</w:t>
            </w:r>
          </w:p>
          <w:p w:rsidR="00000000" w:rsidRPr="00C9285E" w:rsidP="00C9285E">
            <w:pPr>
              <w:pStyle w:val="BodyText"/>
            </w:pPr>
            <w:r w:rsidRPr="00C9285E">
              <w:t>Significant changes to the elements and performance criteria. New evidence requirements for assessment, including volume and frequency requirements. Significant change to knowledge evidence.</w:t>
            </w:r>
          </w:p>
        </w:tc>
      </w:tr>
    </w:tbl>
    <w:p w:rsidR="00891D05" w:rsidP="00C9285E">
      <w:pPr>
        <w:pStyle w:val="BodyText"/>
      </w:pPr>
    </w:p>
    <w:p w:rsidR="00891D05" w:rsidP="00C9285E">
      <w:pPr>
        <w:pStyle w:val="BodyText"/>
      </w:pPr>
    </w:p>
    <w:p w:rsidR="00000000" w:rsidRPr="00C9285E" w:rsidP="00C9285E">
      <w:pPr>
        <w:pStyle w:val="Heading1"/>
      </w:pPr>
      <w:bookmarkStart w:id="2" w:name="O_855463"/>
      <w:bookmarkEnd w:id="2"/>
      <w:r w:rsidRPr="00C9285E">
        <w:t>Application</w:t>
      </w:r>
    </w:p>
    <w:p w:rsidR="00000000" w:rsidRPr="00C9285E" w:rsidP="00891D05">
      <w:pPr>
        <w:pStyle w:val="BodyText"/>
      </w:pPr>
      <w:r w:rsidRPr="00C9285E">
        <w:t>This unit describes the skills an</w:t>
      </w:r>
      <w:r w:rsidRPr="00C9285E">
        <w:t xml:space="preserve">d knowledge required to plan and prepare for anaesthesia for a range of surgical specialities, and provide assistance to the anaesthetist during regional anaesthesia, invasive monitoring and other anaesthetic related procedures. It includes the ability to </w:t>
      </w:r>
      <w:r w:rsidRPr="00C9285E">
        <w:t>prepare and monitor both client and equipment during the procedure.</w:t>
      </w:r>
    </w:p>
    <w:p w:rsidR="00000000" w:rsidRPr="00C9285E" w:rsidP="00891D05">
      <w:pPr>
        <w:pStyle w:val="BodyText"/>
      </w:pPr>
      <w:r w:rsidRPr="00C9285E">
        <w:t xml:space="preserve">This unit applies to anaesthetic technicians working under the direction of, and in consultation with, an anaesthetist in any hospital or day surgery setting. </w:t>
      </w:r>
    </w:p>
    <w:p w:rsidR="00000000" w:rsidRPr="00891D05" w:rsidP="00891D05">
      <w:pPr>
        <w:pStyle w:val="BodyText"/>
        <w:rPr>
          <w:i/>
        </w:rPr>
      </w:pPr>
      <w:r w:rsidRPr="00891D05">
        <w:rPr>
          <w:rStyle w:val="Emphasis"/>
        </w:rPr>
        <w:t>The skills in this unit mu</w:t>
      </w:r>
      <w:r w:rsidRPr="00891D05">
        <w:rPr>
          <w:rStyle w:val="Emphasis"/>
        </w:rPr>
        <w:t>st be applied in accordance with Commonwealth and State/Territory legislation, Australian/New Zealand standards and industry codes of practice.</w:t>
      </w:r>
    </w:p>
    <w:p w:rsidR="00000000" w:rsidRPr="00C9285E" w:rsidP="00C9285E">
      <w:pPr>
        <w:pStyle w:val="Heading1"/>
      </w:pPr>
      <w:bookmarkStart w:id="3" w:name="O_855462"/>
      <w:bookmarkEnd w:id="3"/>
      <w:r w:rsidRPr="00C9285E">
        <w:t>Elements and Performance Criteria</w:t>
      </w:r>
    </w:p>
    <w:tbl>
      <w:tblPr>
        <w:tblW w:w="0" w:type="auto"/>
        <w:tblLayout w:type="fixed"/>
        <w:tblCellMar>
          <w:left w:w="62" w:type="dxa"/>
          <w:right w:w="62" w:type="dxa"/>
        </w:tblCellMar>
        <w:tblLook w:val="0000"/>
      </w:tblPr>
      <w:tblGrid>
        <w:gridCol w:w="3261"/>
        <w:gridCol w:w="33"/>
        <w:gridCol w:w="5670"/>
      </w:tblGrid>
      <w:tr w:rsidTr="00C9285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C9285E">
            <w:pPr>
              <w:pStyle w:val="BodyText"/>
              <w:rPr>
                <w:lang w:val="en-NZ"/>
              </w:rPr>
            </w:pPr>
            <w:r w:rsidRPr="00C9285E">
              <w:t>ELEMENT</w:t>
            </w:r>
          </w:p>
        </w:tc>
        <w:tc>
          <w:tcPr>
            <w:tcW w:w="5703" w:type="dxa"/>
            <w:gridSpan w:val="2"/>
            <w:tcBorders>
              <w:top w:val="nil"/>
              <w:left w:val="nil"/>
              <w:bottom w:val="nil"/>
              <w:right w:val="nil"/>
            </w:tcBorders>
            <w:tcMar>
              <w:top w:w="0" w:type="dxa"/>
              <w:left w:w="62" w:type="dxa"/>
              <w:bottom w:w="0" w:type="dxa"/>
              <w:right w:w="62" w:type="dxa"/>
            </w:tcMar>
          </w:tcPr>
          <w:p w:rsidR="00000000" w:rsidP="00C9285E">
            <w:pPr>
              <w:pStyle w:val="BodyText"/>
              <w:rPr>
                <w:lang w:val="en-NZ"/>
              </w:rPr>
            </w:pPr>
            <w:r w:rsidRPr="00C9285E">
              <w:t>PERFORMANCE CRITERIA</w:t>
            </w:r>
          </w:p>
        </w:tc>
      </w:tr>
      <w:tr w:rsidTr="00C9285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9285E" w:rsidP="00C9285E">
            <w:pPr>
              <w:pStyle w:val="BodyText"/>
            </w:pPr>
            <w:r w:rsidRPr="00C9285E">
              <w:rPr>
                <w:rStyle w:val="Emphasis"/>
              </w:rPr>
              <w:t>Elements define the essential outcomes</w:t>
            </w:r>
          </w:p>
        </w:tc>
        <w:tc>
          <w:tcPr>
            <w:tcW w:w="5703" w:type="dxa"/>
            <w:gridSpan w:val="2"/>
            <w:tcBorders>
              <w:top w:val="nil"/>
              <w:left w:val="nil"/>
              <w:bottom w:val="nil"/>
              <w:right w:val="nil"/>
            </w:tcBorders>
            <w:tcMar>
              <w:top w:w="0" w:type="dxa"/>
              <w:left w:w="62" w:type="dxa"/>
              <w:bottom w:w="0" w:type="dxa"/>
              <w:right w:w="62" w:type="dxa"/>
            </w:tcMar>
          </w:tcPr>
          <w:p w:rsidR="00000000" w:rsidP="00C9285E">
            <w:pPr>
              <w:pStyle w:val="BodyText"/>
              <w:rPr>
                <w:lang w:val="en-NZ"/>
              </w:rPr>
            </w:pPr>
            <w:r w:rsidRPr="00C9285E">
              <w:rPr>
                <w:rStyle w:val="Emphasis"/>
              </w:rPr>
              <w:t>Performance criteria describe the performance needed to demonstrate achievement of the element</w:t>
            </w:r>
          </w:p>
        </w:tc>
      </w:tr>
      <w:tr w:rsidTr="00C9285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9285E">
            <w:pPr>
              <w:pStyle w:val="BodyText"/>
              <w:rPr>
                <w:lang w:val="en-NZ"/>
              </w:rPr>
            </w:pPr>
            <w:r w:rsidRPr="00C9285E">
              <w:t>1. Prepare client and equipment</w:t>
            </w:r>
          </w:p>
        </w:tc>
        <w:tc>
          <w:tcPr>
            <w:tcW w:w="5703" w:type="dxa"/>
            <w:gridSpan w:val="2"/>
            <w:tcBorders>
              <w:top w:val="nil"/>
              <w:left w:val="nil"/>
              <w:bottom w:val="nil"/>
              <w:right w:val="nil"/>
            </w:tcBorders>
            <w:tcMar>
              <w:top w:w="0" w:type="dxa"/>
              <w:left w:w="62" w:type="dxa"/>
              <w:bottom w:w="0" w:type="dxa"/>
              <w:right w:w="62" w:type="dxa"/>
            </w:tcMar>
          </w:tcPr>
          <w:p w:rsidR="00000000" w:rsidRPr="00C9285E" w:rsidP="00C9285E">
            <w:pPr>
              <w:pStyle w:val="BodyText"/>
            </w:pPr>
            <w:r w:rsidRPr="00C9285E">
              <w:t>1.1 Read procedure information, check anaesthetist requirements and surgical factors that</w:t>
            </w:r>
            <w:r w:rsidRPr="00C9285E">
              <w:t xml:space="preserve"> may impact on the anaesthetic procedure</w:t>
            </w:r>
          </w:p>
          <w:p w:rsidR="00000000" w:rsidRPr="00C9285E" w:rsidP="00C9285E">
            <w:pPr>
              <w:pStyle w:val="BodyText"/>
            </w:pPr>
            <w:r w:rsidRPr="00C9285E">
              <w:t xml:space="preserve">1.2 Develop and communicate individualised anaesthesia </w:t>
            </w:r>
            <w:r w:rsidRPr="00C9285E">
              <w:t>plan in collaboration with anaesthetist</w:t>
            </w:r>
          </w:p>
          <w:p w:rsidR="00000000" w:rsidRPr="00C9285E" w:rsidP="00C9285E">
            <w:pPr>
              <w:pStyle w:val="BodyText"/>
            </w:pPr>
            <w:r w:rsidRPr="00C9285E">
              <w:t>1.3 Select and prepare equipment and materials in relation to sequence and requirements of the clients and their anaesth</w:t>
            </w:r>
            <w:r w:rsidRPr="00C9285E">
              <w:t>etic procedure</w:t>
            </w:r>
          </w:p>
          <w:p w:rsidR="00000000" w:rsidRPr="00C9285E" w:rsidP="00C9285E">
            <w:pPr>
              <w:pStyle w:val="BodyText"/>
            </w:pPr>
            <w:r w:rsidRPr="00C9285E">
              <w:t>1.4 Ensure all relevant anaesthetic equipment and materials are clean/disinfected/sterile, functioning correctly, prepared for use, and if necessary, calibrated</w:t>
            </w:r>
          </w:p>
          <w:p w:rsidR="00000000" w:rsidRPr="00C9285E" w:rsidP="00C9285E">
            <w:pPr>
              <w:pStyle w:val="BodyText"/>
            </w:pPr>
            <w:r w:rsidRPr="00C9285E">
              <w:t xml:space="preserve">1.5 Position equipment and materials for accessibility </w:t>
            </w:r>
          </w:p>
          <w:p w:rsidR="00000000" w:rsidRPr="00C9285E" w:rsidP="00C9285E">
            <w:pPr>
              <w:pStyle w:val="BodyText"/>
            </w:pPr>
            <w:r w:rsidRPr="00C9285E">
              <w:t xml:space="preserve">1.6 Accurately document </w:t>
            </w:r>
            <w:r w:rsidRPr="00C9285E">
              <w:t>accountable anaesthetic items</w:t>
            </w:r>
          </w:p>
          <w:p w:rsidR="00000000" w:rsidRPr="00C9285E" w:rsidP="00C9285E">
            <w:pPr>
              <w:pStyle w:val="BodyText"/>
            </w:pPr>
            <w:r w:rsidRPr="00C9285E">
              <w:t>1.7 Position the client for the procedure and provide optimum conditions to facilitate access</w:t>
            </w:r>
          </w:p>
          <w:p w:rsidR="00000000" w:rsidP="00C9285E">
            <w:pPr>
              <w:pStyle w:val="BodyText"/>
              <w:rPr>
                <w:lang w:val="en-NZ"/>
              </w:rPr>
            </w:pPr>
            <w:r w:rsidRPr="00C9285E">
              <w:t>1.8 Check environment for administration of anaesthesia and adjust accordingly</w:t>
            </w:r>
          </w:p>
        </w:tc>
      </w:tr>
      <w:tr w:rsidTr="00C9285E">
        <w:tblPrEx>
          <w:tblW w:w="0" w:type="auto"/>
          <w:tblLayout w:type="fixed"/>
          <w:tblCellMar>
            <w:left w:w="62" w:type="dxa"/>
            <w:right w:w="62" w:type="dxa"/>
          </w:tblCellMar>
          <w:tblLook w:val="0000"/>
        </w:tblPrEx>
        <w:tc>
          <w:tcPr>
            <w:tcW w:w="3294"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285E">
            <w:pPr>
              <w:pStyle w:val="BodyText"/>
              <w:rPr>
                <w:lang w:val="en-NZ"/>
              </w:rPr>
            </w:pPr>
          </w:p>
        </w:tc>
      </w:tr>
      <w:tr w:rsidTr="00C9285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9285E">
            <w:pPr>
              <w:pStyle w:val="BodyText"/>
              <w:rPr>
                <w:lang w:val="en-NZ"/>
              </w:rPr>
            </w:pPr>
            <w:r w:rsidRPr="00C9285E">
              <w:t xml:space="preserve">2. Provide assistance to the anaesthetist </w:t>
            </w:r>
          </w:p>
        </w:tc>
        <w:tc>
          <w:tcPr>
            <w:tcW w:w="5703" w:type="dxa"/>
            <w:gridSpan w:val="2"/>
            <w:tcBorders>
              <w:top w:val="nil"/>
              <w:left w:val="nil"/>
              <w:bottom w:val="nil"/>
              <w:right w:val="nil"/>
            </w:tcBorders>
            <w:tcMar>
              <w:top w:w="0" w:type="dxa"/>
              <w:left w:w="62" w:type="dxa"/>
              <w:bottom w:w="0" w:type="dxa"/>
              <w:right w:w="62" w:type="dxa"/>
            </w:tcMar>
          </w:tcPr>
          <w:p w:rsidR="00000000" w:rsidRPr="00C9285E" w:rsidP="00C9285E">
            <w:pPr>
              <w:pStyle w:val="BodyText"/>
            </w:pPr>
            <w:r w:rsidRPr="00C9285E">
              <w:t>2.1 Provide assistance to the anaesthetist during anaesthetic procedures and the induction, maintenance and completion of anaesthesia</w:t>
            </w:r>
          </w:p>
          <w:p w:rsidR="00000000" w:rsidRPr="00C9285E" w:rsidP="00C9285E">
            <w:pPr>
              <w:pStyle w:val="BodyText"/>
            </w:pPr>
            <w:r w:rsidRPr="00C9285E">
              <w:t>2.2 Check client’s physiological parameters when required or as directed by anaesthetist</w:t>
            </w:r>
          </w:p>
          <w:p w:rsidR="00000000" w:rsidRPr="00C9285E" w:rsidP="00C9285E">
            <w:pPr>
              <w:pStyle w:val="BodyText"/>
            </w:pPr>
            <w:r w:rsidRPr="00C9285E">
              <w:t>2.3 Complete required documentati</w:t>
            </w:r>
            <w:r w:rsidRPr="00C9285E">
              <w:t>on</w:t>
            </w:r>
          </w:p>
          <w:p w:rsidR="00000000" w:rsidRPr="00C9285E" w:rsidP="00C9285E">
            <w:pPr>
              <w:pStyle w:val="BodyText"/>
            </w:pPr>
            <w:r w:rsidRPr="00C9285E">
              <w:t xml:space="preserve">2.4 Identify, validate and report deviations from acceptable limits of the client’s physiological parameters to the anaesthetist </w:t>
            </w:r>
          </w:p>
          <w:p w:rsidR="00000000" w:rsidRPr="00C9285E" w:rsidP="00C9285E">
            <w:pPr>
              <w:pStyle w:val="BodyText"/>
            </w:pPr>
            <w:r w:rsidRPr="00C9285E">
              <w:t>2.5 Report signs of client discomfort, distress or adverse reaction to the anaesthetist</w:t>
            </w:r>
          </w:p>
          <w:p w:rsidR="00000000" w:rsidP="00C9285E">
            <w:pPr>
              <w:pStyle w:val="BodyText"/>
              <w:rPr>
                <w:lang w:val="en-NZ"/>
              </w:rPr>
            </w:pPr>
            <w:r w:rsidRPr="00C9285E">
              <w:t>2.6 Assist with the perioperative m</w:t>
            </w:r>
            <w:r w:rsidRPr="00C9285E">
              <w:t>edical management of the patient</w:t>
            </w:r>
          </w:p>
        </w:tc>
      </w:tr>
      <w:tr w:rsidTr="00C9285E">
        <w:tblPrEx>
          <w:tblW w:w="0" w:type="auto"/>
          <w:tblLayout w:type="fixed"/>
          <w:tblCellMar>
            <w:left w:w="62" w:type="dxa"/>
            <w:right w:w="62" w:type="dxa"/>
          </w:tblCellMar>
          <w:tblLook w:val="0000"/>
        </w:tblPrEx>
        <w:tc>
          <w:tcPr>
            <w:tcW w:w="3294"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9285E">
            <w:pPr>
              <w:pStyle w:val="BodyText"/>
              <w:rPr>
                <w:lang w:val="en-NZ"/>
              </w:rPr>
            </w:pPr>
          </w:p>
        </w:tc>
      </w:tr>
      <w:tr w:rsidTr="00C9285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C9285E" w:rsidP="00C9285E">
            <w:pPr>
              <w:pStyle w:val="BodyText"/>
            </w:pPr>
            <w:r w:rsidRPr="00C9285E">
              <w:t>3. Restore equipment and environment at completion of procedure</w:t>
            </w:r>
          </w:p>
          <w:p w:rsidR="00000000">
            <w:pPr>
              <w:pStyle w:val="BodyText"/>
              <w:keepLines w:val="0"/>
              <w:spacing w:before="0" w:after="0"/>
              <w:rPr>
                <w:rFonts w:ascii="Tahoma" w:hAnsi="Tahoma"/>
                <w:sz w:val="20"/>
                <w:lang w:val="en-NZ"/>
              </w:rPr>
            </w:pPr>
          </w:p>
        </w:tc>
        <w:tc>
          <w:tcPr>
            <w:tcW w:w="5703" w:type="dxa"/>
            <w:gridSpan w:val="2"/>
            <w:tcBorders>
              <w:top w:val="nil"/>
              <w:left w:val="nil"/>
              <w:bottom w:val="nil"/>
              <w:right w:val="nil"/>
            </w:tcBorders>
            <w:tcMar>
              <w:top w:w="0" w:type="dxa"/>
              <w:left w:w="62" w:type="dxa"/>
              <w:bottom w:w="0" w:type="dxa"/>
              <w:right w:w="62" w:type="dxa"/>
            </w:tcMar>
          </w:tcPr>
          <w:p w:rsidR="00000000" w:rsidRPr="00C9285E" w:rsidP="00C9285E">
            <w:pPr>
              <w:pStyle w:val="BodyText"/>
            </w:pPr>
            <w:r w:rsidRPr="00C9285E">
              <w:t>3.1 Clean, disinfect or sterilise equipment in accordance with infection control guidelines and manufacturer’s instructions</w:t>
            </w:r>
          </w:p>
          <w:p w:rsidR="00000000" w:rsidRPr="00C9285E" w:rsidP="00C9285E">
            <w:pPr>
              <w:pStyle w:val="BodyText"/>
            </w:pPr>
            <w:r w:rsidRPr="00C9285E">
              <w:t>3.2 Manage faulty equipment in</w:t>
            </w:r>
            <w:r w:rsidRPr="00C9285E">
              <w:t xml:space="preserve"> accordance with organisation policies and procedures and manufacturer</w:t>
            </w:r>
            <w:r>
              <w:t>’</w:t>
            </w:r>
            <w:r w:rsidRPr="00C9285E">
              <w:t>s guidelines</w:t>
            </w:r>
          </w:p>
          <w:p w:rsidR="00000000" w:rsidRPr="00C9285E" w:rsidP="00C9285E">
            <w:pPr>
              <w:pStyle w:val="BodyText"/>
            </w:pPr>
            <w:r w:rsidRPr="00C9285E">
              <w:t>3.3 Restore the environment to required status</w:t>
            </w:r>
          </w:p>
          <w:p w:rsidR="00000000" w:rsidRPr="00C9285E" w:rsidP="00C9285E">
            <w:pPr>
              <w:pStyle w:val="BodyText"/>
            </w:pPr>
            <w:r w:rsidRPr="00C9285E">
              <w:t>3.4 Restock consumables according to facility requirements</w:t>
            </w:r>
          </w:p>
        </w:tc>
      </w:tr>
    </w:tbl>
    <w:p w:rsidR="00891D05" w:rsidP="00C9285E">
      <w:pPr>
        <w:pStyle w:val="BodyText"/>
      </w:pPr>
    </w:p>
    <w:p w:rsidR="00891D05" w:rsidP="00C9285E">
      <w:pPr>
        <w:pStyle w:val="BodyText"/>
      </w:pPr>
    </w:p>
    <w:p w:rsidR="00000000" w:rsidRPr="00C9285E" w:rsidP="00C9285E">
      <w:pPr>
        <w:pStyle w:val="Heading1"/>
      </w:pPr>
      <w:bookmarkStart w:id="4" w:name="O_855461"/>
      <w:bookmarkEnd w:id="4"/>
      <w:r w:rsidRPr="00C9285E">
        <w:t>Foundation Skills</w:t>
      </w:r>
    </w:p>
    <w:tbl>
      <w:tblPr>
        <w:tblW w:w="0" w:type="auto"/>
        <w:tblLayout w:type="fixed"/>
        <w:tblCellMar>
          <w:left w:w="62" w:type="dxa"/>
          <w:right w:w="62" w:type="dxa"/>
        </w:tblCellMar>
        <w:tblLook w:val="0000"/>
      </w:tblPr>
      <w:tblGrid>
        <w:gridCol w:w="8931"/>
      </w:tblGrid>
      <w:tr w:rsidTr="00C9285E">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P="00C9285E">
            <w:pPr>
              <w:pStyle w:val="BodyText"/>
              <w:rPr>
                <w:lang w:val="en-NZ"/>
              </w:rPr>
            </w:pPr>
            <w:r w:rsidRPr="00C9285E">
              <w:rPr>
                <w:rStyle w:val="Emphasis"/>
              </w:rPr>
              <w:t xml:space="preserve">The Foundation Skills describe those required skills (language, literacy, numeracy and employment </w:t>
            </w:r>
            <w:r w:rsidRPr="00C9285E">
              <w:t xml:space="preserve">skills) that are essential </w:t>
            </w:r>
            <w:r w:rsidRPr="00C9285E">
              <w:rPr>
                <w:rStyle w:val="Emphasis"/>
              </w:rPr>
              <w:t>to performance.</w:t>
            </w:r>
          </w:p>
        </w:tc>
      </w:tr>
      <w:tr w:rsidTr="00C9285E">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P="00C9285E">
            <w:pPr>
              <w:pStyle w:val="BodyText"/>
              <w:rPr>
                <w:lang w:val="en-NZ"/>
              </w:rPr>
            </w:pPr>
          </w:p>
        </w:tc>
      </w:tr>
      <w:tr w:rsidTr="00C9285E">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RPr="00C9285E" w:rsidP="00C9285E">
            <w:pPr>
              <w:pStyle w:val="BodyText"/>
            </w:pPr>
            <w:r w:rsidRPr="00C9285E">
              <w:t xml:space="preserve">Foundation skills essential to performance are explicit in the performance criteria of this unit of competency. </w:t>
            </w:r>
          </w:p>
        </w:tc>
      </w:tr>
    </w:tbl>
    <w:p w:rsidR="00891D05" w:rsidP="00C9285E">
      <w:pPr>
        <w:pStyle w:val="BodyText"/>
      </w:pPr>
    </w:p>
    <w:p w:rsidR="00891D05" w:rsidP="00C9285E">
      <w:pPr>
        <w:pStyle w:val="BodyText"/>
      </w:pPr>
    </w:p>
    <w:p w:rsidR="00000000" w:rsidRPr="00C9285E" w:rsidP="00C9285E">
      <w:pPr>
        <w:pStyle w:val="Heading1"/>
      </w:pPr>
      <w:bookmarkStart w:id="5" w:name="O_855460"/>
      <w:bookmarkEnd w:id="5"/>
      <w:r w:rsidRPr="00C9285E">
        <w:t>Unit Mapping Information</w:t>
      </w:r>
    </w:p>
    <w:p w:rsidR="00000000" w:rsidRPr="00C9285E" w:rsidP="00891D05">
      <w:pPr>
        <w:pStyle w:val="BodyText"/>
      </w:pPr>
      <w:r w:rsidRPr="00C9285E">
        <w:t xml:space="preserve">No equivalent unit. </w:t>
      </w:r>
    </w:p>
    <w:p w:rsidR="00000000" w:rsidRPr="00C9285E" w:rsidP="00C9285E">
      <w:pPr>
        <w:pStyle w:val="Heading1"/>
      </w:pPr>
      <w:bookmarkStart w:id="6" w:name="O_855465"/>
      <w:bookmarkEnd w:id="6"/>
      <w:r w:rsidRPr="00C9285E">
        <w:t>Links</w:t>
      </w:r>
    </w:p>
    <w:p w:rsidR="00000000" w:rsidRPr="00C9285E" w:rsidP="00891D05">
      <w:pPr>
        <w:pStyle w:val="BodyText"/>
      </w:pPr>
      <w:r w:rsidRPr="00C9285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40285">
        <w:rPr>
          <w:rStyle w:val="Hyperlink"/>
        </w:rPr>
        <w:t>https://vetnet.gov.au/Pages/TrainingDocs.aspx?q=ced1390f-48d9-4ab0-bd50-b015e5485705</w:t>
      </w:r>
      <w:r>
        <w:fldChar w:fldCharType="end"/>
      </w:r>
    </w:p>
    <w:p w:rsidR="00000000" w:rsidRPr="00C9285E" w:rsidP="00891D05">
      <w:pPr>
        <w:pStyle w:val="BodyText"/>
        <w:sectPr w:rsidSect="00C9285E">
          <w:headerReference w:type="default" r:id="rId10"/>
          <w:footerReference w:type="default" r:id="rId11"/>
          <w:pgSz w:w="11908" w:h="16833"/>
          <w:pgMar w:top="1702" w:right="1418" w:bottom="1702" w:left="1418" w:header="992" w:footer="992" w:gutter="0"/>
          <w:cols w:space="720"/>
          <w:noEndnote/>
          <w:docGrid w:linePitch="299"/>
        </w:sectPr>
      </w:pPr>
    </w:p>
    <w:p w:rsidR="00000000" w:rsidRPr="00C9285E" w:rsidP="00C9285E">
      <w:pPr>
        <w:pStyle w:val="SuperHeading"/>
      </w:pPr>
      <w:r w:rsidRPr="00C9285E">
        <w:t>Assessment Requirements for HLTANA006 Assist with clinical procedures used in anaesthesia</w:t>
      </w:r>
    </w:p>
    <w:p w:rsidR="00000000" w:rsidRPr="00C9285E" w:rsidP="00C9285E">
      <w:pPr>
        <w:pStyle w:val="Heading1"/>
      </w:pPr>
      <w:bookmarkStart w:id="7" w:name="O_855458"/>
      <w:bookmarkEnd w:id="7"/>
      <w:r w:rsidRPr="00C9285E">
        <w:t>Modification History</w:t>
      </w:r>
    </w:p>
    <w:tbl>
      <w:tblPr>
        <w:tblW w:w="0" w:type="auto"/>
        <w:tblLayout w:type="fixed"/>
        <w:tblCellMar>
          <w:left w:w="62" w:type="dxa"/>
          <w:right w:w="62" w:type="dxa"/>
        </w:tblCellMar>
        <w:tblLook w:val="0000"/>
      </w:tblPr>
      <w:tblGrid>
        <w:gridCol w:w="2790"/>
        <w:gridCol w:w="6344"/>
      </w:tblGrid>
      <w:tr w:rsidTr="00C9285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85E" w:rsidP="00C9285E">
            <w:pPr>
              <w:pStyle w:val="BodyText"/>
            </w:pPr>
            <w:r w:rsidRPr="00C9285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85E">
            <w:pPr>
              <w:pStyle w:val="BodyText"/>
              <w:rPr>
                <w:lang w:val="en-NZ"/>
              </w:rPr>
            </w:pPr>
            <w:r w:rsidRPr="00C9285E">
              <w:rPr>
                <w:rStyle w:val="SpecialBold"/>
              </w:rPr>
              <w:t>Comments</w:t>
            </w:r>
          </w:p>
        </w:tc>
      </w:tr>
      <w:tr w:rsidTr="00C9285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85E">
            <w:pPr>
              <w:pStyle w:val="BodyText"/>
              <w:rPr>
                <w:lang w:val="en-NZ"/>
              </w:rPr>
            </w:pPr>
            <w:r w:rsidRPr="00C9285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85E" w:rsidP="00C9285E">
            <w:pPr>
              <w:pStyle w:val="BodyText"/>
            </w:pPr>
            <w:r w:rsidRPr="00C9285E">
              <w:t xml:space="preserve">This version was released in </w:t>
            </w:r>
            <w:r w:rsidRPr="00C9285E">
              <w:rPr>
                <w:rStyle w:val="Emphasis"/>
              </w:rPr>
              <w:t>HLT Health Training Packa</w:t>
            </w:r>
            <w:r w:rsidRPr="00C9285E">
              <w:rPr>
                <w:rStyle w:val="Emphasis"/>
              </w:rPr>
              <w:t>ge release 2.0</w:t>
            </w:r>
            <w:r w:rsidRPr="00C9285E">
              <w:t xml:space="preserve"> and meets the requirements of the 2012 Standards for Training Packages.</w:t>
            </w:r>
          </w:p>
          <w:p w:rsidR="00000000" w:rsidRPr="00C9285E" w:rsidP="00C9285E">
            <w:pPr>
              <w:pStyle w:val="BodyText"/>
            </w:pPr>
            <w:r w:rsidRPr="00C9285E">
              <w:t>Significant changes to the elements and performance criteria. New evidence requirements for assessment, including volume and frequency requirements. Significant change t</w:t>
            </w:r>
            <w:r w:rsidRPr="00C9285E">
              <w:t>o knowledge evidence.</w:t>
            </w:r>
          </w:p>
        </w:tc>
      </w:tr>
    </w:tbl>
    <w:p w:rsidR="00891D05" w:rsidP="00C9285E">
      <w:pPr>
        <w:pStyle w:val="BodyText"/>
      </w:pPr>
    </w:p>
    <w:p w:rsidR="00891D05" w:rsidP="00C9285E">
      <w:pPr>
        <w:pStyle w:val="BodyText"/>
      </w:pPr>
    </w:p>
    <w:p w:rsidR="00000000" w:rsidRPr="00C9285E" w:rsidP="00C9285E">
      <w:pPr>
        <w:pStyle w:val="Heading1"/>
      </w:pPr>
      <w:bookmarkStart w:id="8" w:name="O_855457"/>
      <w:bookmarkEnd w:id="8"/>
      <w:r w:rsidRPr="00C9285E">
        <w:t>Performance Evidence</w:t>
      </w:r>
    </w:p>
    <w:p w:rsidR="00000000" w:rsidRPr="00C9285E" w:rsidP="00891D05">
      <w:pPr>
        <w:pStyle w:val="BodyText"/>
      </w:pPr>
      <w:r w:rsidRPr="00C9285E">
        <w:t xml:space="preserve">The candidate must show evidence of the ability to complete tasks outlined in elements and performance criteria of this unit, manage tasks and manage contingencies </w:t>
      </w:r>
      <w:r w:rsidRPr="00C9285E">
        <w:t>in the context of the job role. There must be evidence that the candidate has:</w:t>
      </w:r>
    </w:p>
    <w:p w:rsidR="00000000" w:rsidRPr="00C9285E" w:rsidP="00C9285E">
      <w:pPr>
        <w:pStyle w:val="ListBullet"/>
      </w:pPr>
      <w:r w:rsidRPr="00C9285E">
        <w:t>planned, prepared and assisted during induction, maintenance and completion of anaesthesia for each of the following for at least two lists each:</w:t>
      </w:r>
    </w:p>
    <w:p w:rsidR="00000000" w:rsidRPr="00C9285E" w:rsidP="00C9285E">
      <w:pPr>
        <w:pStyle w:val="ListBullet2"/>
      </w:pPr>
      <w:r w:rsidRPr="00C9285E">
        <w:t>general surgery/gastro-intest</w:t>
      </w:r>
      <w:r w:rsidRPr="00C9285E">
        <w:t>inal – major laparotomy &amp; minor surgery</w:t>
      </w:r>
    </w:p>
    <w:p w:rsidR="00000000" w:rsidRPr="00C9285E" w:rsidP="00C9285E">
      <w:pPr>
        <w:pStyle w:val="ListBullet2"/>
      </w:pPr>
      <w:r w:rsidRPr="00C9285E">
        <w:t>ear, nose and throat surgery</w:t>
      </w:r>
    </w:p>
    <w:p w:rsidR="00000000" w:rsidRPr="00C9285E" w:rsidP="00C9285E">
      <w:pPr>
        <w:pStyle w:val="ListBullet2"/>
      </w:pPr>
      <w:r w:rsidRPr="00C9285E">
        <w:t>gynaecological surgery - major &amp; minor</w:t>
      </w:r>
    </w:p>
    <w:p w:rsidR="00000000" w:rsidRPr="00C9285E" w:rsidP="00C9285E">
      <w:pPr>
        <w:pStyle w:val="ListBullet2"/>
      </w:pPr>
      <w:r w:rsidRPr="00C9285E">
        <w:t>obstetric surgery</w:t>
      </w:r>
    </w:p>
    <w:p w:rsidR="00000000" w:rsidRPr="00C9285E" w:rsidP="00C9285E">
      <w:pPr>
        <w:pStyle w:val="ListBullet2"/>
      </w:pPr>
      <w:r w:rsidRPr="00C9285E">
        <w:t>orthopaedic surgery - major &amp; minor</w:t>
      </w:r>
    </w:p>
    <w:p w:rsidR="00000000" w:rsidRPr="00C9285E" w:rsidP="00C9285E">
      <w:pPr>
        <w:pStyle w:val="ListBullet2"/>
      </w:pPr>
      <w:r w:rsidRPr="00C9285E">
        <w:t>vascular surgery - major &amp; minor</w:t>
      </w:r>
    </w:p>
    <w:p w:rsidR="00000000" w:rsidRPr="00C9285E" w:rsidP="00C9285E">
      <w:pPr>
        <w:pStyle w:val="ListBullet2"/>
      </w:pPr>
      <w:r w:rsidRPr="00C9285E">
        <w:t>urological surgery - major &amp; minor</w:t>
      </w:r>
    </w:p>
    <w:p w:rsidR="00000000" w:rsidRPr="00C9285E" w:rsidP="00C9285E">
      <w:pPr>
        <w:pStyle w:val="ListBullet2"/>
      </w:pPr>
      <w:r w:rsidRPr="00C9285E">
        <w:t>ophthalmic surgery</w:t>
      </w:r>
    </w:p>
    <w:p w:rsidR="00000000" w:rsidRPr="00C9285E" w:rsidP="00C9285E">
      <w:pPr>
        <w:pStyle w:val="ListBullet2"/>
      </w:pPr>
      <w:r w:rsidRPr="00C9285E">
        <w:t>paediat</w:t>
      </w:r>
      <w:r w:rsidRPr="00C9285E">
        <w:t>ric – minor ear nose and throat (ENT), general &amp; orthopaedic</w:t>
      </w:r>
    </w:p>
    <w:p w:rsidR="00000000" w:rsidRPr="00C9285E" w:rsidP="00C9285E">
      <w:pPr>
        <w:pStyle w:val="ListBullet2"/>
      </w:pPr>
      <w:r w:rsidRPr="00C9285E">
        <w:t xml:space="preserve">remote site anaesthesia – radiology, electroconvulsive therapy (ECT), endoscopy </w:t>
      </w:r>
    </w:p>
    <w:p w:rsidR="00000000" w:rsidRPr="00C9285E" w:rsidP="00C9285E">
      <w:pPr>
        <w:pStyle w:val="ListBullet"/>
      </w:pPr>
      <w:r w:rsidRPr="00C9285E">
        <w:t xml:space="preserve">provided assistance with each of the following procedures on at least 3 occasions, ensuring use of aseptic </w:t>
      </w:r>
      <w:r w:rsidRPr="00C9285E">
        <w:t xml:space="preserve">technique: </w:t>
      </w:r>
    </w:p>
    <w:p w:rsidR="00000000" w:rsidRPr="00C9285E" w:rsidP="00C9285E">
      <w:pPr>
        <w:pStyle w:val="ListBullet2"/>
      </w:pPr>
      <w:r w:rsidRPr="00C9285E">
        <w:t xml:space="preserve">spinal </w:t>
      </w:r>
    </w:p>
    <w:p w:rsidR="00000000" w:rsidRPr="00C9285E" w:rsidP="00C9285E">
      <w:pPr>
        <w:pStyle w:val="ListBullet2"/>
      </w:pPr>
      <w:r w:rsidRPr="00C9285E">
        <w:t>arterial line</w:t>
      </w:r>
    </w:p>
    <w:p w:rsidR="00000000" w:rsidRPr="00C9285E" w:rsidP="00C9285E">
      <w:pPr>
        <w:pStyle w:val="ListBullet2"/>
      </w:pPr>
      <w:r w:rsidRPr="00C9285E">
        <w:t>central venous catheter</w:t>
      </w:r>
    </w:p>
    <w:p w:rsidR="00000000" w:rsidRPr="00C9285E" w:rsidP="00C9285E">
      <w:pPr>
        <w:pStyle w:val="ListBullet"/>
      </w:pPr>
      <w:r w:rsidRPr="00C9285E">
        <w:t xml:space="preserve">provided assistance with each of the following procedures on at least 2 occasions, ensuring use of aseptic technique: </w:t>
      </w:r>
    </w:p>
    <w:p w:rsidR="00000000" w:rsidRPr="00C9285E" w:rsidP="00C9285E">
      <w:pPr>
        <w:pStyle w:val="ListBullet2"/>
      </w:pPr>
      <w:r w:rsidRPr="00C9285E">
        <w:t xml:space="preserve">local </w:t>
      </w:r>
    </w:p>
    <w:p w:rsidR="00000000" w:rsidRPr="00C9285E" w:rsidP="00C9285E">
      <w:pPr>
        <w:pStyle w:val="ListBullet2"/>
      </w:pPr>
      <w:r w:rsidRPr="00C9285E">
        <w:t>regional blocks including use of ultrasound</w:t>
      </w:r>
    </w:p>
    <w:p w:rsidR="00000000" w:rsidRPr="00C9285E" w:rsidP="00C9285E">
      <w:pPr>
        <w:pStyle w:val="ListBullet3"/>
      </w:pPr>
      <w:r w:rsidRPr="00C9285E">
        <w:t xml:space="preserve">upper limb </w:t>
      </w:r>
    </w:p>
    <w:p w:rsidR="00000000" w:rsidRPr="00C9285E" w:rsidP="00C9285E">
      <w:pPr>
        <w:pStyle w:val="ListBullet3"/>
      </w:pPr>
      <w:r w:rsidRPr="00C9285E">
        <w:t xml:space="preserve">lower limb </w:t>
      </w:r>
    </w:p>
    <w:p w:rsidR="00000000" w:rsidRPr="00C9285E" w:rsidP="00C9285E">
      <w:pPr>
        <w:pStyle w:val="ListBullet3"/>
      </w:pPr>
      <w:r w:rsidRPr="00C9285E">
        <w:t xml:space="preserve">TAP block </w:t>
      </w:r>
    </w:p>
    <w:p w:rsidR="00000000" w:rsidRPr="00C9285E" w:rsidP="00C9285E">
      <w:pPr>
        <w:pStyle w:val="ListBullet2"/>
      </w:pPr>
      <w:r w:rsidRPr="00C9285E">
        <w:t xml:space="preserve">epidural/combined spinal-epidural </w:t>
      </w:r>
    </w:p>
    <w:p w:rsidR="00000000" w:rsidRPr="00C9285E" w:rsidP="00C9285E">
      <w:pPr>
        <w:pStyle w:val="ListBullet2"/>
      </w:pPr>
      <w:r w:rsidRPr="00C9285E">
        <w:t xml:space="preserve">caudal </w:t>
      </w:r>
    </w:p>
    <w:p w:rsidR="00000000" w:rsidRPr="00C9285E" w:rsidP="00C9285E">
      <w:pPr>
        <w:pStyle w:val="ListBullet2"/>
      </w:pPr>
      <w:r w:rsidRPr="00C9285E">
        <w:t>peripherally inserted central catheter</w:t>
      </w:r>
    </w:p>
    <w:p w:rsidR="00000000" w:rsidRPr="00C9285E" w:rsidP="00C9285E">
      <w:pPr>
        <w:pStyle w:val="ListBullet2"/>
      </w:pPr>
      <w:r w:rsidRPr="00C9285E">
        <w:t>midline catheter</w:t>
      </w:r>
      <w:r w:rsidRPr="00C9285E">
        <w:rPr>
          <w:rStyle w:val="Monospace"/>
        </w:rPr>
        <w:t xml:space="preserve"> </w:t>
      </w:r>
    </w:p>
    <w:p w:rsidR="00000000" w:rsidRPr="00C9285E" w:rsidP="00C9285E">
      <w:pPr>
        <w:pStyle w:val="ListBullet2"/>
      </w:pPr>
      <w:r w:rsidRPr="00C9285E">
        <w:t xml:space="preserve">transoesophageal echocardiograph (TOE) </w:t>
      </w:r>
    </w:p>
    <w:p w:rsidR="00000000" w:rsidRPr="00C9285E" w:rsidP="00C9285E">
      <w:pPr>
        <w:pStyle w:val="ListBullet2"/>
      </w:pPr>
      <w:r w:rsidRPr="00C9285E">
        <w:t>blood patch</w:t>
      </w:r>
    </w:p>
    <w:p w:rsidR="00000000" w:rsidRPr="00C9285E" w:rsidP="00C9285E">
      <w:pPr>
        <w:pStyle w:val="ListBullet2"/>
      </w:pPr>
      <w:r w:rsidRPr="00C9285E">
        <w:t xml:space="preserve">intercostal drainage </w:t>
      </w:r>
    </w:p>
    <w:p w:rsidR="00000000" w:rsidRPr="00C9285E" w:rsidP="00C9285E">
      <w:pPr>
        <w:pStyle w:val="ListBullet2"/>
      </w:pPr>
      <w:r w:rsidRPr="00C9285E">
        <w:t xml:space="preserve">pain management procedures (e.g. chemical sympathectomy) </w:t>
      </w:r>
    </w:p>
    <w:p w:rsidR="00000000" w:rsidRPr="00C9285E" w:rsidP="00C9285E">
      <w:pPr>
        <w:pStyle w:val="ListBullet2"/>
      </w:pPr>
      <w:r w:rsidRPr="00C9285E">
        <w:t xml:space="preserve">vascular </w:t>
      </w:r>
      <w:r>
        <w:t>‘</w:t>
      </w:r>
      <w:r w:rsidRPr="00C9285E">
        <w:t>cu</w:t>
      </w:r>
      <w:r w:rsidRPr="00C9285E">
        <w:t>t downs</w:t>
      </w:r>
      <w:r>
        <w:t>’</w:t>
      </w:r>
      <w:r w:rsidRPr="00C9285E">
        <w:t xml:space="preserve"> </w:t>
      </w:r>
    </w:p>
    <w:p w:rsidR="00000000" w:rsidRPr="00C9285E" w:rsidP="00C9285E">
      <w:pPr>
        <w:pStyle w:val="ListBullet2"/>
      </w:pPr>
      <w:r w:rsidRPr="00C9285E">
        <w:t xml:space="preserve">external pacing </w:t>
      </w:r>
    </w:p>
    <w:p w:rsidR="00000000" w:rsidRPr="00C9285E" w:rsidP="00C9285E">
      <w:pPr>
        <w:pStyle w:val="ListBullet2"/>
      </w:pPr>
      <w:r w:rsidRPr="00C9285E">
        <w:t xml:space="preserve">pulmonary artery catheter </w:t>
      </w:r>
    </w:p>
    <w:p w:rsidR="00000000" w:rsidRPr="00C9285E" w:rsidP="00C9285E">
      <w:pPr>
        <w:pStyle w:val="ListBullet2"/>
      </w:pPr>
      <w:r w:rsidRPr="00C9285E">
        <w:t xml:space="preserve">balloon pump </w:t>
      </w:r>
    </w:p>
    <w:p w:rsidR="00000000" w:rsidRPr="00C9285E" w:rsidP="00C9285E">
      <w:pPr>
        <w:pStyle w:val="ListBullet2"/>
      </w:pPr>
      <w:r w:rsidRPr="00C9285E">
        <w:t xml:space="preserve">intracranial pressure monitoring </w:t>
      </w:r>
    </w:p>
    <w:p w:rsidR="00000000" w:rsidRPr="00C9285E" w:rsidP="00C9285E">
      <w:pPr>
        <w:pStyle w:val="ListBullet2"/>
      </w:pPr>
      <w:r w:rsidRPr="00C9285E">
        <w:t>12 lead ECG</w:t>
      </w:r>
    </w:p>
    <w:p w:rsidR="00000000" w:rsidRPr="00C9285E" w:rsidP="00C9285E">
      <w:pPr>
        <w:pStyle w:val="ListBullet"/>
      </w:pPr>
      <w:r w:rsidRPr="00C9285E">
        <w:t xml:space="preserve">monitored physiological parameters with reference to standard values of normal physiological function for each client’s usual parameters </w:t>
      </w:r>
    </w:p>
    <w:p w:rsidR="00000000" w:rsidRPr="00C9285E" w:rsidP="00C9285E">
      <w:pPr>
        <w:pStyle w:val="AllowPageBreak"/>
      </w:pPr>
    </w:p>
    <w:p w:rsidR="00000000" w:rsidRPr="00C9285E" w:rsidP="00C9285E">
      <w:pPr>
        <w:pStyle w:val="Heading1"/>
      </w:pPr>
      <w:bookmarkStart w:id="9" w:name="O_855456"/>
      <w:bookmarkEnd w:id="9"/>
      <w:r w:rsidRPr="00C9285E">
        <w:t>Knowledge Evidence</w:t>
      </w:r>
    </w:p>
    <w:p w:rsidR="00000000" w:rsidRPr="00C9285E" w:rsidP="00891D05">
      <w:pPr>
        <w:pStyle w:val="BodyText"/>
      </w:pPr>
      <w:r w:rsidRPr="00C9285E">
        <w:t xml:space="preserve">The candidate must be able to demonstrate essential knowledge required to effectively complete tasks outlined in elements and performance criteria of this unit, manage tasks and manage contingencies in the context of the </w:t>
      </w:r>
      <w:r w:rsidRPr="00C9285E">
        <w:t>work role. This includes knowledge of:</w:t>
      </w:r>
    </w:p>
    <w:p w:rsidR="00000000" w:rsidRPr="00C9285E" w:rsidP="00C9285E">
      <w:pPr>
        <w:pStyle w:val="ListBullet"/>
      </w:pPr>
      <w:r w:rsidRPr="00C9285E">
        <w:t>legal and ethical considerations (national, state/territory) for clinical procedures, and how these are applied in organisations:</w:t>
      </w:r>
    </w:p>
    <w:p w:rsidR="00000000" w:rsidRPr="00C9285E" w:rsidP="00C9285E">
      <w:pPr>
        <w:pStyle w:val="ListBullet2"/>
      </w:pPr>
      <w:r w:rsidRPr="00C9285E">
        <w:t>codes of practice</w:t>
      </w:r>
    </w:p>
    <w:p w:rsidR="00000000" w:rsidRPr="00C9285E" w:rsidP="00C9285E">
      <w:pPr>
        <w:pStyle w:val="ListBullet2"/>
      </w:pPr>
      <w:r w:rsidRPr="00C9285E">
        <w:t>duty of care</w:t>
      </w:r>
    </w:p>
    <w:p w:rsidR="00000000" w:rsidRPr="00C9285E" w:rsidP="00C9285E">
      <w:pPr>
        <w:pStyle w:val="ListBullet2"/>
      </w:pPr>
      <w:r w:rsidRPr="00C9285E">
        <w:t xml:space="preserve">infection prevention and control </w:t>
      </w:r>
    </w:p>
    <w:p w:rsidR="00000000" w:rsidRPr="00C9285E" w:rsidP="00C9285E">
      <w:pPr>
        <w:pStyle w:val="ListBullet2"/>
      </w:pPr>
      <w:r w:rsidRPr="00C9285E">
        <w:t xml:space="preserve">informed consent </w:t>
      </w:r>
    </w:p>
    <w:p w:rsidR="00000000" w:rsidRPr="00C9285E" w:rsidP="00C9285E">
      <w:pPr>
        <w:pStyle w:val="ListBullet2"/>
      </w:pPr>
      <w:r w:rsidRPr="00C9285E">
        <w:t>ma</w:t>
      </w:r>
      <w:r w:rsidRPr="00C9285E">
        <w:t xml:space="preserve">ndatory reporting </w:t>
      </w:r>
    </w:p>
    <w:p w:rsidR="00000000" w:rsidRPr="00C9285E" w:rsidP="00C9285E">
      <w:pPr>
        <w:pStyle w:val="ListBullet2"/>
      </w:pPr>
      <w:r w:rsidRPr="00C9285E">
        <w:t>privacy, confidentiality and disclosure</w:t>
      </w:r>
    </w:p>
    <w:p w:rsidR="00000000" w:rsidRPr="00C9285E" w:rsidP="00C9285E">
      <w:pPr>
        <w:pStyle w:val="ListBullet2"/>
      </w:pPr>
      <w:r w:rsidRPr="00C9285E">
        <w:t>records management and clinical documentation</w:t>
      </w:r>
    </w:p>
    <w:p w:rsidR="00000000" w:rsidRPr="00C9285E" w:rsidP="00C9285E">
      <w:pPr>
        <w:pStyle w:val="ListBullet2"/>
      </w:pPr>
      <w:r w:rsidRPr="00C9285E">
        <w:t>rights and responsibilities of workers, employers and clients</w:t>
      </w:r>
    </w:p>
    <w:p w:rsidR="00000000" w:rsidRPr="00C9285E" w:rsidP="00C9285E">
      <w:pPr>
        <w:pStyle w:val="ListBullet2"/>
      </w:pPr>
      <w:r w:rsidRPr="00C9285E">
        <w:t>work role boundaries – responsibilities and limitations</w:t>
      </w:r>
    </w:p>
    <w:p w:rsidR="00000000" w:rsidRPr="00C9285E" w:rsidP="00C9285E">
      <w:pPr>
        <w:pStyle w:val="ListBullet2"/>
      </w:pPr>
      <w:r w:rsidRPr="00C9285E">
        <w:t>work health and safety (WHS)</w:t>
      </w:r>
    </w:p>
    <w:p w:rsidR="00000000" w:rsidRPr="00C9285E" w:rsidP="00C9285E">
      <w:pPr>
        <w:pStyle w:val="ListBullet"/>
      </w:pPr>
      <w:r w:rsidRPr="00C9285E">
        <w:t>types of regional and invasive procedures, how they are performed, and the anaesthetic technician’s role, for the following:</w:t>
      </w:r>
    </w:p>
    <w:p w:rsidR="00000000" w:rsidRPr="00C9285E" w:rsidP="00C9285E">
      <w:pPr>
        <w:pStyle w:val="ListBullet2"/>
      </w:pPr>
      <w:r w:rsidRPr="00C9285E">
        <w:t xml:space="preserve">spinal </w:t>
      </w:r>
    </w:p>
    <w:p w:rsidR="00000000" w:rsidRPr="00C9285E" w:rsidP="00C9285E">
      <w:pPr>
        <w:pStyle w:val="ListBullet2"/>
      </w:pPr>
      <w:r w:rsidRPr="00C9285E">
        <w:t xml:space="preserve">epidural </w:t>
      </w:r>
    </w:p>
    <w:p w:rsidR="00000000" w:rsidRPr="00C9285E" w:rsidP="00C9285E">
      <w:pPr>
        <w:pStyle w:val="ListBullet2"/>
      </w:pPr>
      <w:r w:rsidRPr="00C9285E">
        <w:t xml:space="preserve">combined spinal-epidural </w:t>
      </w:r>
    </w:p>
    <w:p w:rsidR="00000000" w:rsidRPr="00C9285E" w:rsidP="00C9285E">
      <w:pPr>
        <w:pStyle w:val="ListBullet2"/>
      </w:pPr>
      <w:r w:rsidRPr="00C9285E">
        <w:t xml:space="preserve">caudal </w:t>
      </w:r>
    </w:p>
    <w:p w:rsidR="00000000" w:rsidRPr="00C9285E" w:rsidP="00C9285E">
      <w:pPr>
        <w:pStyle w:val="ListBullet2"/>
      </w:pPr>
      <w:r w:rsidRPr="00C9285E">
        <w:t xml:space="preserve">local </w:t>
      </w:r>
    </w:p>
    <w:p w:rsidR="00000000" w:rsidRPr="00C9285E" w:rsidP="00C9285E">
      <w:pPr>
        <w:pStyle w:val="ListBullet2"/>
      </w:pPr>
      <w:r w:rsidRPr="00C9285E">
        <w:t xml:space="preserve">regional blocks, including use of ultrasound </w:t>
      </w:r>
    </w:p>
    <w:p w:rsidR="00000000" w:rsidRPr="00C9285E" w:rsidP="00C9285E">
      <w:pPr>
        <w:pStyle w:val="ListBullet3"/>
      </w:pPr>
      <w:r w:rsidRPr="00C9285E">
        <w:t xml:space="preserve">upper limb </w:t>
      </w:r>
    </w:p>
    <w:p w:rsidR="00000000" w:rsidRPr="00C9285E" w:rsidP="00C9285E">
      <w:pPr>
        <w:pStyle w:val="ListBullet3"/>
      </w:pPr>
      <w:r w:rsidRPr="00C9285E">
        <w:t xml:space="preserve">lower limb </w:t>
      </w:r>
    </w:p>
    <w:p w:rsidR="00000000" w:rsidRPr="00C9285E" w:rsidP="00C9285E">
      <w:pPr>
        <w:pStyle w:val="ListBullet3"/>
      </w:pPr>
      <w:r w:rsidRPr="00C9285E">
        <w:t xml:space="preserve">TAP block </w:t>
      </w:r>
    </w:p>
    <w:p w:rsidR="00000000" w:rsidRPr="00C9285E" w:rsidP="00C9285E">
      <w:pPr>
        <w:pStyle w:val="ListBullet2"/>
      </w:pPr>
      <w:r w:rsidRPr="00C9285E">
        <w:t>blood patch</w:t>
      </w:r>
    </w:p>
    <w:p w:rsidR="00000000" w:rsidRPr="00C9285E" w:rsidP="00C9285E">
      <w:pPr>
        <w:pStyle w:val="ListBullet2"/>
      </w:pPr>
      <w:r w:rsidRPr="00C9285E">
        <w:t>arterial line</w:t>
      </w:r>
    </w:p>
    <w:p w:rsidR="00000000" w:rsidRPr="00C9285E" w:rsidP="00C9285E">
      <w:pPr>
        <w:pStyle w:val="ListBullet2"/>
      </w:pPr>
      <w:r w:rsidRPr="00C9285E">
        <w:t xml:space="preserve">central venous catheter </w:t>
      </w:r>
    </w:p>
    <w:p w:rsidR="00000000" w:rsidRPr="00C9285E" w:rsidP="00C9285E">
      <w:pPr>
        <w:pStyle w:val="ListBullet2"/>
      </w:pPr>
      <w:r w:rsidRPr="00C9285E">
        <w:t xml:space="preserve">peripherally inserted central catheter (PICC) </w:t>
      </w:r>
    </w:p>
    <w:p w:rsidR="00000000" w:rsidRPr="00C9285E" w:rsidP="00C9285E">
      <w:pPr>
        <w:pStyle w:val="ListBullet2"/>
      </w:pPr>
      <w:r w:rsidRPr="00C9285E">
        <w:t xml:space="preserve">midline catheter </w:t>
      </w:r>
    </w:p>
    <w:p w:rsidR="00000000" w:rsidRPr="00C9285E" w:rsidP="00C9285E">
      <w:pPr>
        <w:pStyle w:val="ListBullet2"/>
      </w:pPr>
      <w:r w:rsidRPr="00C9285E">
        <w:t xml:space="preserve">transoesophageal echocardiograph (TOE) </w:t>
      </w:r>
    </w:p>
    <w:p w:rsidR="00000000" w:rsidRPr="00C9285E" w:rsidP="00C9285E">
      <w:pPr>
        <w:pStyle w:val="ListBullet2"/>
      </w:pPr>
      <w:r w:rsidRPr="00C9285E">
        <w:t xml:space="preserve">intercostal drainage </w:t>
      </w:r>
    </w:p>
    <w:p w:rsidR="00000000" w:rsidRPr="00C9285E" w:rsidP="00C9285E">
      <w:pPr>
        <w:pStyle w:val="ListBullet2"/>
      </w:pPr>
      <w:r w:rsidRPr="00C9285E">
        <w:t xml:space="preserve">pain management procedures </w:t>
      </w:r>
    </w:p>
    <w:p w:rsidR="00000000" w:rsidRPr="00C9285E" w:rsidP="00C9285E">
      <w:pPr>
        <w:pStyle w:val="ListBullet2"/>
      </w:pPr>
      <w:r w:rsidRPr="00C9285E">
        <w:t xml:space="preserve">vascular </w:t>
      </w:r>
      <w:r>
        <w:t>‘</w:t>
      </w:r>
      <w:r w:rsidRPr="00C9285E">
        <w:t>cut downs</w:t>
      </w:r>
      <w:r>
        <w:t>’</w:t>
      </w:r>
      <w:r w:rsidRPr="00C9285E">
        <w:t xml:space="preserve"> </w:t>
      </w:r>
    </w:p>
    <w:p w:rsidR="00000000" w:rsidRPr="00C9285E" w:rsidP="00C9285E">
      <w:pPr>
        <w:pStyle w:val="ListBullet2"/>
      </w:pPr>
      <w:r w:rsidRPr="00C9285E">
        <w:t xml:space="preserve">external pacing </w:t>
      </w:r>
    </w:p>
    <w:p w:rsidR="00000000" w:rsidRPr="00C9285E" w:rsidP="00C9285E">
      <w:pPr>
        <w:pStyle w:val="ListBullet2"/>
      </w:pPr>
      <w:r w:rsidRPr="00C9285E">
        <w:t xml:space="preserve">pulmonary artery catheter </w:t>
      </w:r>
    </w:p>
    <w:p w:rsidR="00000000" w:rsidRPr="00C9285E" w:rsidP="00C9285E">
      <w:pPr>
        <w:pStyle w:val="ListBullet2"/>
      </w:pPr>
      <w:r w:rsidRPr="00C9285E">
        <w:t>balloon pump</w:t>
      </w:r>
    </w:p>
    <w:p w:rsidR="00000000" w:rsidRPr="00C9285E" w:rsidP="00C9285E">
      <w:pPr>
        <w:pStyle w:val="ListBullet2"/>
      </w:pPr>
      <w:r w:rsidRPr="00C9285E">
        <w:t xml:space="preserve">intracranial pressure monitoring </w:t>
      </w:r>
    </w:p>
    <w:p w:rsidR="00000000" w:rsidRPr="00C9285E" w:rsidP="00C9285E">
      <w:pPr>
        <w:pStyle w:val="ListBullet2"/>
      </w:pPr>
      <w:r w:rsidRPr="00C9285E">
        <w:t xml:space="preserve">cell salvage/autotransfusion </w:t>
      </w:r>
    </w:p>
    <w:p w:rsidR="00000000" w:rsidRPr="00C9285E" w:rsidP="00C9285E">
      <w:pPr>
        <w:pStyle w:val="ListBullet2"/>
      </w:pPr>
      <w:r w:rsidRPr="00C9285E">
        <w:t>12 lead ECG</w:t>
      </w:r>
    </w:p>
    <w:p w:rsidR="00000000" w:rsidRPr="00C9285E" w:rsidP="00C9285E">
      <w:pPr>
        <w:pStyle w:val="ListBullet2"/>
      </w:pPr>
      <w:r w:rsidRPr="00C9285E">
        <w:t xml:space="preserve">spinal cord monitoring </w:t>
      </w:r>
    </w:p>
    <w:p w:rsidR="00000000" w:rsidRPr="00C9285E" w:rsidP="00C9285E">
      <w:pPr>
        <w:pStyle w:val="ListBullet"/>
      </w:pPr>
      <w:r w:rsidRPr="00C9285E">
        <w:t xml:space="preserve">types of equipment used for regional and invasive procedures, including function and operating guidelines, </w:t>
      </w:r>
      <w:r w:rsidRPr="00C9285E">
        <w:t xml:space="preserve">use, indications and limitations, and criteria for withdrawal </w:t>
      </w:r>
    </w:p>
    <w:p w:rsidR="00000000" w:rsidRPr="00C9285E" w:rsidP="00C9285E">
      <w:pPr>
        <w:pStyle w:val="ListBullet"/>
      </w:pPr>
      <w:r w:rsidRPr="00C9285E">
        <w:t>monitoring of and maintenance of stock levels perioperatively, including CO2 absorber, medications, fluids, consumables</w:t>
      </w:r>
    </w:p>
    <w:p w:rsidR="00000000" w:rsidRPr="00C9285E" w:rsidP="00C9285E">
      <w:pPr>
        <w:pStyle w:val="ListBullet"/>
      </w:pPr>
      <w:r w:rsidRPr="00C9285E">
        <w:t xml:space="preserve">anatomy, physiology factors that impact regional and invasive procedures </w:t>
      </w:r>
      <w:r w:rsidRPr="00C9285E">
        <w:t>for different client groups</w:t>
      </w:r>
    </w:p>
    <w:p w:rsidR="00000000" w:rsidRPr="00C9285E" w:rsidP="00C9285E">
      <w:pPr>
        <w:pStyle w:val="ListBullet"/>
      </w:pPr>
      <w:r w:rsidRPr="00C9285E">
        <w:t xml:space="preserve">pre-medications and their effects </w:t>
      </w:r>
    </w:p>
    <w:p w:rsidR="00000000" w:rsidRPr="00C9285E" w:rsidP="00C9285E">
      <w:pPr>
        <w:pStyle w:val="ListBullet"/>
      </w:pPr>
      <w:r>
        <w:t>•</w:t>
      </w:r>
      <w:r>
        <w:tab/>
      </w:r>
      <w:r w:rsidRPr="00C9285E">
        <w:t xml:space="preserve">types of surgery – emergency/urgent/elective/day case </w:t>
      </w:r>
    </w:p>
    <w:p w:rsidR="00000000" w:rsidRPr="00C9285E" w:rsidP="00C9285E">
      <w:pPr>
        <w:pStyle w:val="ListBullet"/>
      </w:pPr>
      <w:r w:rsidRPr="00C9285E">
        <w:t>types of common surgical procedures, their classification and factors for planning, preparation and management of anaesthesia, including:</w:t>
      </w:r>
    </w:p>
    <w:p w:rsidR="00000000" w:rsidRPr="00C9285E" w:rsidP="00C9285E">
      <w:pPr>
        <w:pStyle w:val="ListBullet2"/>
      </w:pPr>
      <w:r w:rsidRPr="00C9285E">
        <w:t>general surgery/gastro-intestinal – major laparotomy &amp; minor</w:t>
      </w:r>
    </w:p>
    <w:p w:rsidR="00000000" w:rsidRPr="00C9285E" w:rsidP="00C9285E">
      <w:pPr>
        <w:pStyle w:val="ListBullet2"/>
      </w:pPr>
      <w:r w:rsidRPr="00C9285E">
        <w:t>ear, nose and throat surgery</w:t>
      </w:r>
    </w:p>
    <w:p w:rsidR="00000000" w:rsidRPr="00C9285E" w:rsidP="00C9285E">
      <w:pPr>
        <w:pStyle w:val="ListBullet2"/>
      </w:pPr>
      <w:r w:rsidRPr="00C9285E">
        <w:t>gynaecological surgery - major &amp; minor</w:t>
      </w:r>
    </w:p>
    <w:p w:rsidR="00000000" w:rsidRPr="00C9285E" w:rsidP="00C9285E">
      <w:pPr>
        <w:pStyle w:val="ListBullet2"/>
      </w:pPr>
      <w:r w:rsidRPr="00C9285E">
        <w:t>obstetric surgery</w:t>
      </w:r>
    </w:p>
    <w:p w:rsidR="00000000" w:rsidRPr="00C9285E" w:rsidP="00C9285E">
      <w:pPr>
        <w:pStyle w:val="ListBullet2"/>
      </w:pPr>
      <w:r w:rsidRPr="00C9285E">
        <w:t>orthopaedic surgery - major &amp; minor</w:t>
      </w:r>
    </w:p>
    <w:p w:rsidR="00000000" w:rsidRPr="00C9285E" w:rsidP="00C9285E">
      <w:pPr>
        <w:pStyle w:val="ListBullet2"/>
      </w:pPr>
      <w:r w:rsidRPr="00C9285E">
        <w:t>vascular surgery - major &amp; minor</w:t>
      </w:r>
    </w:p>
    <w:p w:rsidR="00000000" w:rsidRPr="00C9285E" w:rsidP="00C9285E">
      <w:pPr>
        <w:pStyle w:val="ListBullet2"/>
      </w:pPr>
      <w:r w:rsidRPr="00C9285E">
        <w:t>urological surgery - major &amp; minor</w:t>
      </w:r>
    </w:p>
    <w:p w:rsidR="00000000" w:rsidRPr="00C9285E" w:rsidP="00C9285E">
      <w:pPr>
        <w:pStyle w:val="ListBullet2"/>
      </w:pPr>
      <w:r w:rsidRPr="00C9285E">
        <w:t>ophthalmic surgery</w:t>
      </w:r>
    </w:p>
    <w:p w:rsidR="00000000" w:rsidRPr="00C9285E" w:rsidP="00C9285E">
      <w:pPr>
        <w:pStyle w:val="ListBullet2"/>
      </w:pPr>
      <w:r w:rsidRPr="00C9285E">
        <w:t>paediatric – minor ENT, general &amp; orthopaedic</w:t>
      </w:r>
    </w:p>
    <w:p w:rsidR="00000000" w:rsidRPr="00C9285E" w:rsidP="00C9285E">
      <w:pPr>
        <w:pStyle w:val="ListBullet2"/>
      </w:pPr>
      <w:r w:rsidRPr="00C9285E">
        <w:t>dental/faciomaxillary surgery</w:t>
      </w:r>
    </w:p>
    <w:p w:rsidR="00000000" w:rsidRPr="00C9285E" w:rsidP="00C9285E">
      <w:pPr>
        <w:pStyle w:val="ListBullet2"/>
      </w:pPr>
      <w:r w:rsidRPr="00C9285E">
        <w:t>cardiothoracic Surgery</w:t>
      </w:r>
    </w:p>
    <w:p w:rsidR="00000000" w:rsidRPr="00C9285E" w:rsidP="00C9285E">
      <w:pPr>
        <w:pStyle w:val="ListBullet2"/>
      </w:pPr>
      <w:r w:rsidRPr="00C9285E">
        <w:t>neurosurgery</w:t>
      </w:r>
    </w:p>
    <w:p w:rsidR="00000000" w:rsidRPr="00C9285E" w:rsidP="00C9285E">
      <w:pPr>
        <w:pStyle w:val="ListBullet2"/>
      </w:pPr>
      <w:r w:rsidRPr="00C9285E">
        <w:t xml:space="preserve">plastic/Reconstructive Surgery </w:t>
      </w:r>
    </w:p>
    <w:p w:rsidR="00000000" w:rsidRPr="00C9285E" w:rsidP="00C9285E">
      <w:pPr>
        <w:pStyle w:val="ListBullet2"/>
      </w:pPr>
      <w:r w:rsidRPr="00C9285E">
        <w:t>trauma/emergency surgery</w:t>
      </w:r>
    </w:p>
    <w:p w:rsidR="00000000" w:rsidRPr="00C9285E" w:rsidP="00C9285E">
      <w:pPr>
        <w:pStyle w:val="ListBullet2"/>
      </w:pPr>
      <w:r w:rsidRPr="00C9285E">
        <w:t>remote site anaesthesia - radiology, ECT/endoscopy</w:t>
      </w:r>
    </w:p>
    <w:p w:rsidR="00000000" w:rsidRPr="00C9285E" w:rsidP="00C9285E">
      <w:pPr>
        <w:pStyle w:val="ListBullet"/>
      </w:pPr>
      <w:r w:rsidRPr="00C9285E">
        <w:t xml:space="preserve">indications for </w:t>
      </w:r>
      <w:r w:rsidRPr="00C9285E">
        <w:t xml:space="preserve">surgery and risk factors </w:t>
      </w:r>
    </w:p>
    <w:p w:rsidR="00000000" w:rsidRPr="00C9285E" w:rsidP="00C9285E">
      <w:pPr>
        <w:pStyle w:val="ListBullet"/>
      </w:pPr>
      <w:r w:rsidRPr="00C9285E">
        <w:t>surgical approaches and duration of surgery</w:t>
      </w:r>
    </w:p>
    <w:p w:rsidR="00000000" w:rsidRPr="00C9285E" w:rsidP="00C9285E">
      <w:pPr>
        <w:pStyle w:val="ListBullet"/>
      </w:pPr>
      <w:r w:rsidRPr="00C9285E">
        <w:t>position of clients for surgery</w:t>
      </w:r>
    </w:p>
    <w:p w:rsidR="00000000" w:rsidRPr="00C9285E" w:rsidP="00C9285E">
      <w:pPr>
        <w:pStyle w:val="ListBullet"/>
      </w:pPr>
      <w:r w:rsidRPr="00C9285E">
        <w:t>common anaesthetic and surgical complications</w:t>
      </w:r>
    </w:p>
    <w:p w:rsidR="00000000" w:rsidRPr="00C9285E" w:rsidP="00C9285E">
      <w:pPr>
        <w:pStyle w:val="ListBullet"/>
      </w:pPr>
      <w:r w:rsidRPr="00C9285E">
        <w:t>risk of anaesthetic technique for surgical procedure</w:t>
      </w:r>
    </w:p>
    <w:p w:rsidR="00000000" w:rsidRPr="00C9285E" w:rsidP="00C9285E">
      <w:pPr>
        <w:pStyle w:val="ListBullet"/>
      </w:pPr>
      <w:r w:rsidRPr="00C9285E">
        <w:t xml:space="preserve">specialty medications required perioperatively </w:t>
      </w:r>
    </w:p>
    <w:p w:rsidR="00000000" w:rsidRPr="00C9285E" w:rsidP="00C9285E">
      <w:pPr>
        <w:pStyle w:val="ListBullet"/>
      </w:pPr>
      <w:r w:rsidRPr="00C9285E">
        <w:t>expected blood loss for different types of surgery</w:t>
      </w:r>
    </w:p>
    <w:p w:rsidR="00000000" w:rsidRPr="00C9285E" w:rsidP="00C9285E">
      <w:pPr>
        <w:pStyle w:val="ListBullet"/>
      </w:pPr>
      <w:r w:rsidRPr="00C9285E">
        <w:t>events during surgery that could affect anaesthesia, including:</w:t>
      </w:r>
    </w:p>
    <w:p w:rsidR="00000000" w:rsidRPr="00C9285E" w:rsidP="00C9285E">
      <w:pPr>
        <w:pStyle w:val="ListBullet2"/>
      </w:pPr>
      <w:r w:rsidRPr="00C9285E">
        <w:t>massive blood loss</w:t>
      </w:r>
    </w:p>
    <w:p w:rsidR="00000000" w:rsidRPr="00C9285E" w:rsidP="00C9285E">
      <w:pPr>
        <w:pStyle w:val="ListBullet2"/>
      </w:pPr>
      <w:r w:rsidRPr="00C9285E">
        <w:t>client repositioning</w:t>
      </w:r>
    </w:p>
    <w:p w:rsidR="00000000" w:rsidRPr="00C9285E" w:rsidP="00C9285E">
      <w:pPr>
        <w:pStyle w:val="ListBullet2"/>
      </w:pPr>
      <w:r w:rsidRPr="00C9285E">
        <w:t>cross clamping and unclamping of aorta and other major blood vessels</w:t>
      </w:r>
    </w:p>
    <w:p w:rsidR="00000000" w:rsidRPr="00C9285E" w:rsidP="00C9285E">
      <w:pPr>
        <w:pStyle w:val="ListBullet2"/>
      </w:pPr>
      <w:r w:rsidRPr="00C9285E">
        <w:t>orthopaedic bone cement syndrom</w:t>
      </w:r>
      <w:r w:rsidRPr="00C9285E">
        <w:t>e</w:t>
      </w:r>
    </w:p>
    <w:p w:rsidR="00000000" w:rsidRPr="00C9285E" w:rsidP="00C9285E">
      <w:pPr>
        <w:pStyle w:val="ListBullet2"/>
      </w:pPr>
      <w:r w:rsidRPr="00C9285E">
        <w:t>transurethral resection of the prostate (TURP) syndrome</w:t>
      </w:r>
    </w:p>
    <w:p w:rsidR="00000000" w:rsidRPr="00C9285E" w:rsidP="00C9285E">
      <w:pPr>
        <w:pStyle w:val="ListBullet2"/>
      </w:pPr>
      <w:r w:rsidRPr="00C9285E">
        <w:t>application/release of tourniquet</w:t>
      </w:r>
    </w:p>
    <w:p w:rsidR="00000000" w:rsidRPr="00C9285E" w:rsidP="00C9285E">
      <w:pPr>
        <w:pStyle w:val="ListBullet2"/>
      </w:pPr>
      <w:r w:rsidRPr="00C9285E">
        <w:t>tourniquet time</w:t>
      </w:r>
    </w:p>
    <w:p w:rsidR="00000000" w:rsidRPr="00C9285E" w:rsidP="00C9285E">
      <w:pPr>
        <w:pStyle w:val="ListBullet2"/>
      </w:pPr>
      <w:r w:rsidRPr="00C9285E">
        <w:t>abdominal carbon dioxide insufflation</w:t>
      </w:r>
    </w:p>
    <w:p w:rsidR="00000000" w:rsidRPr="00C9285E" w:rsidP="00C9285E">
      <w:pPr>
        <w:pStyle w:val="ListBullet"/>
      </w:pPr>
      <w:r w:rsidRPr="00C9285E">
        <w:t>co-existing diseases and their perioperative medical management</w:t>
      </w:r>
    </w:p>
    <w:p w:rsidR="00000000" w:rsidRPr="00C9285E" w:rsidP="00C9285E">
      <w:pPr>
        <w:pStyle w:val="ListBullet"/>
      </w:pPr>
      <w:r w:rsidRPr="00C9285E">
        <w:t>age of the client and associated risks</w:t>
      </w:r>
    </w:p>
    <w:p w:rsidR="00000000" w:rsidRPr="00C9285E" w:rsidP="00C9285E">
      <w:pPr>
        <w:pStyle w:val="ListBullet"/>
      </w:pPr>
      <w:r w:rsidRPr="00C9285E">
        <w:t>types of anaesthetic techniques and preference card systems</w:t>
      </w:r>
    </w:p>
    <w:p w:rsidR="00000000" w:rsidRPr="00C9285E" w:rsidP="00C9285E">
      <w:pPr>
        <w:pStyle w:val="ListBullet"/>
      </w:pPr>
      <w:r w:rsidRPr="00C9285E">
        <w:t>intraoperative procedures, including:</w:t>
      </w:r>
    </w:p>
    <w:p w:rsidR="00000000" w:rsidRPr="00C9285E" w:rsidP="00C9285E">
      <w:pPr>
        <w:pStyle w:val="ListBullet2"/>
      </w:pPr>
      <w:r w:rsidRPr="00C9285E">
        <w:t>nasogastric tube placement and suctioning</w:t>
      </w:r>
    </w:p>
    <w:p w:rsidR="00000000" w:rsidRPr="00C9285E" w:rsidP="00C9285E">
      <w:pPr>
        <w:pStyle w:val="ListBullet2"/>
      </w:pPr>
      <w:r w:rsidRPr="00C9285E">
        <w:t>endotracheal tube suctioning</w:t>
      </w:r>
    </w:p>
    <w:p w:rsidR="00000000" w:rsidRPr="00C9285E" w:rsidP="00C9285E">
      <w:pPr>
        <w:pStyle w:val="ListBullet2"/>
      </w:pPr>
      <w:r w:rsidRPr="00C9285E">
        <w:t>tracheostomy toileting</w:t>
      </w:r>
    </w:p>
    <w:p w:rsidR="00000000" w:rsidRPr="00C9285E" w:rsidP="00C9285E">
      <w:pPr>
        <w:pStyle w:val="ListBullet2"/>
      </w:pPr>
      <w:r w:rsidRPr="00C9285E">
        <w:t>rapid infusion, blood transfusion &amp; massive transfusion protoco</w:t>
      </w:r>
      <w:r w:rsidRPr="00C9285E">
        <w:t>l</w:t>
      </w:r>
    </w:p>
    <w:p w:rsidR="00000000" w:rsidRPr="00C9285E" w:rsidP="00C9285E">
      <w:pPr>
        <w:pStyle w:val="ListBullet2"/>
      </w:pPr>
      <w:r w:rsidRPr="00C9285E">
        <w:t>fluid balance-urine, gastric, blood loss &amp; infusion</w:t>
      </w:r>
    </w:p>
    <w:p w:rsidR="00000000" w:rsidRPr="00C9285E" w:rsidP="00C9285E">
      <w:pPr>
        <w:pStyle w:val="ListBullet2"/>
      </w:pPr>
      <w:r w:rsidRPr="00C9285E">
        <w:t>invasive/non-invasive clinical measurements</w:t>
      </w:r>
    </w:p>
    <w:p w:rsidR="00000000" w:rsidRPr="00C9285E" w:rsidP="00C9285E">
      <w:pPr>
        <w:pStyle w:val="ListBullet2"/>
      </w:pPr>
      <w:r w:rsidRPr="00C9285E">
        <w:t>airway exchange</w:t>
      </w:r>
    </w:p>
    <w:p w:rsidR="00000000" w:rsidRPr="00C9285E" w:rsidP="00C9285E">
      <w:pPr>
        <w:pStyle w:val="ListBullet2"/>
      </w:pPr>
      <w:r w:rsidRPr="00C9285E">
        <w:t>pain management techniques</w:t>
      </w:r>
    </w:p>
    <w:p w:rsidR="00000000" w:rsidRPr="00C9285E" w:rsidP="00C9285E">
      <w:pPr>
        <w:pStyle w:val="ListBullet2"/>
      </w:pPr>
      <w:r w:rsidRPr="00C9285E">
        <w:t>invasive/non-invasive clinical measurement planning options</w:t>
      </w:r>
    </w:p>
    <w:p w:rsidR="00000000" w:rsidRPr="00C9285E" w:rsidP="00C9285E">
      <w:pPr>
        <w:pStyle w:val="ListBullet2"/>
      </w:pPr>
      <w:r w:rsidRPr="00C9285E">
        <w:t>airway management planning options</w:t>
      </w:r>
    </w:p>
    <w:p w:rsidR="00000000" w:rsidRPr="00C9285E" w:rsidP="00C9285E">
      <w:pPr>
        <w:pStyle w:val="ListBullet"/>
      </w:pPr>
      <w:r w:rsidRPr="00C9285E">
        <w:t>ancillary equipment choices</w:t>
      </w:r>
    </w:p>
    <w:p w:rsidR="00000000" w:rsidRPr="00C9285E" w:rsidP="00C9285E">
      <w:pPr>
        <w:pStyle w:val="ListBullet"/>
      </w:pPr>
      <w:r w:rsidRPr="00C9285E">
        <w:t>pressure and nerve care</w:t>
      </w:r>
    </w:p>
    <w:p w:rsidR="00000000" w:rsidRPr="00C9285E" w:rsidP="00C9285E">
      <w:pPr>
        <w:pStyle w:val="ListBullet"/>
      </w:pPr>
      <w:r w:rsidRPr="00C9285E">
        <w:t>normal range of motion for client</w:t>
      </w:r>
    </w:p>
    <w:p w:rsidR="00000000" w:rsidRPr="00C9285E" w:rsidP="00C9285E">
      <w:pPr>
        <w:pStyle w:val="ListBullet"/>
      </w:pPr>
      <w:r w:rsidRPr="00C9285E">
        <w:t>thermal management</w:t>
      </w:r>
    </w:p>
    <w:p w:rsidR="00000000" w:rsidRPr="00C9285E" w:rsidP="00C9285E">
      <w:pPr>
        <w:pStyle w:val="ListBullet"/>
      </w:pPr>
      <w:r w:rsidRPr="00C9285E">
        <w:t>prevention of thromboembolism</w:t>
      </w:r>
    </w:p>
    <w:p w:rsidR="00000000" w:rsidRPr="00C9285E" w:rsidP="00C9285E">
      <w:pPr>
        <w:pStyle w:val="ListBullet"/>
      </w:pPr>
      <w:r w:rsidRPr="00C9285E">
        <w:t>patient emotional and physiological responses to surgery</w:t>
      </w:r>
    </w:p>
    <w:p w:rsidR="00000000" w:rsidRPr="00C9285E" w:rsidP="00C9285E">
      <w:pPr>
        <w:pStyle w:val="ListBullet"/>
      </w:pPr>
      <w:r w:rsidRPr="00C9285E">
        <w:t>procedures for transfer of anaesthetised patient to intensive ca</w:t>
      </w:r>
      <w:r w:rsidRPr="00C9285E">
        <w:t>re or radiology and equipment used</w:t>
      </w:r>
    </w:p>
    <w:p w:rsidR="00000000" w:rsidRPr="00C9285E" w:rsidP="00C9285E">
      <w:pPr>
        <w:pStyle w:val="ListBullet"/>
      </w:pPr>
      <w:r w:rsidRPr="00C9285E">
        <w:t>communication techniques within multidisciplinary team in operating theatre environment</w:t>
      </w:r>
    </w:p>
    <w:p w:rsidR="00000000" w:rsidRPr="00C9285E" w:rsidP="00C9285E">
      <w:pPr>
        <w:pStyle w:val="AllowPageBreak"/>
      </w:pPr>
    </w:p>
    <w:p w:rsidR="00000000" w:rsidRPr="00C9285E" w:rsidP="00C9285E">
      <w:pPr>
        <w:pStyle w:val="Heading1"/>
      </w:pPr>
      <w:bookmarkStart w:id="10" w:name="O_855455"/>
      <w:bookmarkEnd w:id="10"/>
      <w:r w:rsidRPr="00C9285E">
        <w:t>Assessment Conditions</w:t>
      </w:r>
    </w:p>
    <w:p w:rsidR="00000000" w:rsidRPr="00C9285E" w:rsidP="00891D05">
      <w:pPr>
        <w:pStyle w:val="BodyText"/>
      </w:pPr>
      <w:r w:rsidRPr="00C9285E">
        <w:t xml:space="preserve">Skills must have been demonstrated in the workplace with the addition of simulations and scenarios where the full range of contexts and situations have not been provided in the workplace. The following conditions must be met for this unit: </w:t>
      </w:r>
    </w:p>
    <w:p w:rsidR="00000000" w:rsidRPr="00C9285E" w:rsidP="00C9285E">
      <w:pPr>
        <w:pStyle w:val="ListBullet"/>
      </w:pPr>
      <w:r w:rsidRPr="00C9285E">
        <w:t>use of suitabl</w:t>
      </w:r>
      <w:r w:rsidRPr="00C9285E">
        <w:t>e facilities, equipment and resources, including those required by procedures nominated in the Performance Evidence</w:t>
      </w:r>
    </w:p>
    <w:p w:rsidR="00000000" w:rsidRPr="00C9285E" w:rsidP="00C9285E">
      <w:pPr>
        <w:pStyle w:val="ListBullet"/>
      </w:pPr>
      <w:r w:rsidRPr="00C9285E">
        <w:t>modelling of industry operating conditions, including presence of situations requiring problem solving in non-routine situations</w:t>
      </w:r>
    </w:p>
    <w:p w:rsidR="00000000" w:rsidRPr="00C9285E" w:rsidP="00C9285E">
      <w:pPr>
        <w:pStyle w:val="BodyText"/>
      </w:pPr>
    </w:p>
    <w:p w:rsidR="00000000" w:rsidRPr="00C9285E" w:rsidP="00891D05">
      <w:pPr>
        <w:pStyle w:val="BodyText"/>
      </w:pPr>
      <w:r w:rsidRPr="00C9285E">
        <w:t xml:space="preserve">Assessors </w:t>
      </w:r>
      <w:r w:rsidRPr="00C9285E">
        <w:t>must satisfy the Standards for Registered Training Organisations (RTOs) 2015/AQTF mandatory competency requirements for assessors.</w:t>
      </w:r>
    </w:p>
    <w:p w:rsidR="00000000" w:rsidRPr="00C9285E" w:rsidP="00C9285E">
      <w:pPr>
        <w:pStyle w:val="Heading1"/>
      </w:pPr>
      <w:bookmarkStart w:id="11" w:name="O_855466"/>
      <w:bookmarkEnd w:id="11"/>
      <w:r w:rsidRPr="00C9285E">
        <w:t>Links</w:t>
      </w:r>
    </w:p>
    <w:p w:rsidR="00000000" w:rsidRPr="00C9285E" w:rsidP="00891D05">
      <w:pPr>
        <w:pStyle w:val="BodyText"/>
      </w:pPr>
      <w:r w:rsidRPr="00C9285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40285">
        <w:rPr>
          <w:rStyle w:val="Hyperlink"/>
        </w:rPr>
        <w:t>https://vetnet.gov.au/Pages/TrainingDocs.aspx?q=ced1390f-48d9-4ab0-bd50-b015e5485705</w:t>
      </w:r>
      <w:r>
        <w:fldChar w:fldCharType="end"/>
      </w:r>
    </w:p>
    <w:p w:rsidR="00000000" w:rsidRPr="00C9285E" w:rsidP="00C9285E"/>
    <w:sectPr w:rsidSect="00C928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8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85E" w:rsidRPr="00891D05" w:rsidP="00891D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8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D05" w:rsidP="00C928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91D05" w:rsidP="00C928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91D05" w:rsidP="00C928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85E" w:rsidP="00C9285E">
    <w:pPr>
      <w:pStyle w:val="Footer"/>
      <w:framePr w:wrap="around"/>
    </w:pPr>
    <w:r>
      <w:fldChar w:fldCharType="begin"/>
    </w:r>
    <w:r>
      <w:instrText xml:space="preserve"> DOCPROPERTY  Subject  \* MERGEFORMAT </w:instrText>
    </w:r>
    <w:r>
      <w:fldChar w:fldCharType="separate"/>
    </w:r>
    <w:r w:rsidR="00891D05">
      <w:t>Approved</w:t>
    </w:r>
    <w:r w:rsidR="00891D05">
      <w:fldChar w:fldCharType="end"/>
    </w:r>
    <w:r>
      <w:tab/>
      <w:t xml:space="preserve">Page </w:t>
    </w:r>
    <w:r>
      <w:fldChar w:fldCharType="begin"/>
    </w:r>
    <w:r>
      <w:instrText xml:space="preserve"> PAGE  \* Arabic  \* MERGEFORMAT </w:instrText>
    </w:r>
    <w:r>
      <w:fldChar w:fldCharType="separate"/>
    </w:r>
    <w:r w:rsidR="00891D0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1D05">
      <w:rPr>
        <w:noProof/>
      </w:rPr>
      <w:t>6</w:t>
    </w:r>
    <w:r>
      <w:rPr>
        <w:noProof/>
      </w:rPr>
      <w:fldChar w:fldCharType="end"/>
    </w:r>
  </w:p>
  <w:p w:rsidR="00C9285E" w:rsidP="00C9285E">
    <w:pPr>
      <w:pStyle w:val="Footer"/>
      <w:framePr w:wrap="around"/>
    </w:pPr>
    <w:r>
      <w:t xml:space="preserve">© Commonwealth of Australia, </w:t>
    </w:r>
    <w:r>
      <w:fldChar w:fldCharType="begin"/>
    </w:r>
    <w:r>
      <w:instrText xml:space="preserve"> DATE  \@ "yyyy"  \* MERGEFORMAT </w:instrText>
    </w:r>
    <w:r>
      <w:fldChar w:fldCharType="separate"/>
    </w:r>
    <w:r w:rsidR="00891D05">
      <w:rPr>
        <w:noProof/>
      </w:rPr>
      <w:t>2025</w:t>
    </w:r>
    <w:r>
      <w:fldChar w:fldCharType="end"/>
    </w:r>
    <w:r>
      <w:tab/>
    </w:r>
    <w:r>
      <w:fldChar w:fldCharType="begin"/>
    </w:r>
    <w:r>
      <w:instrText xml:space="preserve"> DOCPROPERTY  Author  \* MERGEFORMAT </w:instrText>
    </w:r>
    <w:r>
      <w:fldChar w:fldCharType="separate"/>
    </w:r>
    <w:r w:rsidR="00891D05">
      <w:t>HumanAbility</w:t>
    </w:r>
    <w:r w:rsidR="00891D05">
      <w:fldChar w:fldCharType="end"/>
    </w:r>
  </w:p>
  <w:p w:rsidR="00C9285E" w:rsidP="00C928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8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D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285E" w:rsidRPr="00891D05" w:rsidP="00891D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8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D05" w:rsidRPr="002D2AF8" w:rsidP="00C9285E">
    <w:pPr>
      <w:pStyle w:val="Header"/>
      <w:framePr w:wrap="around"/>
    </w:pPr>
    <w:r>
      <w:fldChar w:fldCharType="begin"/>
    </w:r>
    <w:r>
      <w:instrText xml:space="preserve"> TITLE   \* MERGEFORMAT </w:instrText>
    </w:r>
    <w:r>
      <w:fldChar w:fldCharType="separate"/>
    </w:r>
    <w:r>
      <w:t>HLTANA006 Assist with clinical procedures used in anaesthesia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1D05" w:rsidP="00C928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85E" w:rsidRPr="002D2AF8" w:rsidP="00C9285E">
    <w:pPr>
      <w:pStyle w:val="Header"/>
      <w:framePr w:wrap="around"/>
    </w:pPr>
    <w:r>
      <w:fldChar w:fldCharType="begin"/>
    </w:r>
    <w:r>
      <w:instrText xml:space="preserve"> TITLE   \* MERGEFORMAT </w:instrText>
    </w:r>
    <w:r>
      <w:fldChar w:fldCharType="separate"/>
    </w:r>
    <w:r w:rsidR="00891D05">
      <w:t>HLTANA006 Assist with clinical procedures used in anaesthesia</w:t>
    </w:r>
    <w:r w:rsidR="00891D05">
      <w:fldChar w:fldCharType="end"/>
    </w:r>
    <w:r>
      <w:tab/>
      <w:t xml:space="preserve">Date this document was generated: </w:t>
    </w:r>
    <w:r>
      <w:fldChar w:fldCharType="begin"/>
    </w:r>
    <w:r>
      <w:instrText xml:space="preserve"> CREATEDATE  \@ "d MMMM yyyy"  \* MERGEFORMAT </w:instrText>
    </w:r>
    <w:r>
      <w:fldChar w:fldCharType="separate"/>
    </w:r>
    <w:r w:rsidR="00891D05">
      <w:rPr>
        <w:noProof/>
      </w:rPr>
      <w:t>2 March 2025</w:t>
    </w:r>
    <w:r>
      <w:fldChar w:fldCharType="end"/>
    </w:r>
  </w:p>
  <w:p w:rsidR="00C9285E" w:rsidP="00C928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DC96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4CD0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C42D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8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285E"/>
    <w:pPr>
      <w:spacing w:before="360" w:after="60"/>
      <w:outlineLvl w:val="0"/>
    </w:pPr>
    <w:rPr>
      <w:sz w:val="32"/>
    </w:rPr>
  </w:style>
  <w:style w:type="paragraph" w:styleId="Heading2">
    <w:name w:val="heading 2"/>
    <w:basedOn w:val="HeadingBase"/>
    <w:next w:val="BodyText"/>
    <w:link w:val="Heading2Char"/>
    <w:qFormat/>
    <w:rsid w:val="00C9285E"/>
    <w:pPr>
      <w:keepLines/>
      <w:spacing w:before="240" w:after="120"/>
      <w:outlineLvl w:val="1"/>
    </w:pPr>
    <w:rPr>
      <w:sz w:val="28"/>
      <w:szCs w:val="40"/>
    </w:rPr>
  </w:style>
  <w:style w:type="paragraph" w:styleId="Heading3">
    <w:name w:val="heading 3"/>
    <w:basedOn w:val="HeadingBase"/>
    <w:next w:val="BodyText"/>
    <w:link w:val="Heading3Char"/>
    <w:qFormat/>
    <w:rsid w:val="00C9285E"/>
    <w:pPr>
      <w:spacing w:before="180" w:after="120"/>
      <w:outlineLvl w:val="2"/>
    </w:pPr>
    <w:rPr>
      <w:spacing w:val="-10"/>
      <w:kern w:val="32"/>
    </w:rPr>
  </w:style>
  <w:style w:type="paragraph" w:styleId="Heading4">
    <w:name w:val="heading 4"/>
    <w:basedOn w:val="HeadingBase"/>
    <w:next w:val="BodyText"/>
    <w:link w:val="Heading4Char"/>
    <w:qFormat/>
    <w:rsid w:val="00C9285E"/>
    <w:pPr>
      <w:spacing w:before="160" w:after="120"/>
      <w:outlineLvl w:val="3"/>
    </w:pPr>
    <w:rPr>
      <w:sz w:val="22"/>
    </w:rPr>
  </w:style>
  <w:style w:type="paragraph" w:styleId="Heading5">
    <w:name w:val="heading 5"/>
    <w:basedOn w:val="HeadingBase"/>
    <w:next w:val="Normal"/>
    <w:link w:val="Heading5Char"/>
    <w:qFormat/>
    <w:rsid w:val="00C9285E"/>
    <w:pPr>
      <w:spacing w:before="80"/>
      <w:outlineLvl w:val="4"/>
    </w:pPr>
    <w:rPr>
      <w:color w:val="918585"/>
      <w:sz w:val="20"/>
    </w:rPr>
  </w:style>
  <w:style w:type="paragraph" w:styleId="Heading6">
    <w:name w:val="heading 6"/>
    <w:basedOn w:val="HeadingBase"/>
    <w:next w:val="Normal"/>
    <w:link w:val="Heading6Char"/>
    <w:qFormat/>
    <w:rsid w:val="00C9285E"/>
    <w:pPr>
      <w:spacing w:before="60"/>
      <w:outlineLvl w:val="5"/>
    </w:pPr>
    <w:rPr>
      <w:color w:val="918585"/>
      <w:sz w:val="20"/>
    </w:rPr>
  </w:style>
  <w:style w:type="paragraph" w:styleId="Heading7">
    <w:name w:val="heading 7"/>
    <w:basedOn w:val="Normal"/>
    <w:next w:val="Normal"/>
    <w:link w:val="Heading7Char"/>
    <w:qFormat/>
    <w:rsid w:val="00C9285E"/>
    <w:pPr>
      <w:ind w:left="720"/>
      <w:outlineLvl w:val="6"/>
    </w:pPr>
    <w:rPr>
      <w:i/>
    </w:rPr>
  </w:style>
  <w:style w:type="paragraph" w:styleId="Heading8">
    <w:name w:val="heading 8"/>
    <w:basedOn w:val="Normal"/>
    <w:next w:val="Normal"/>
    <w:link w:val="Heading8Char"/>
    <w:qFormat/>
    <w:rsid w:val="00C9285E"/>
    <w:pPr>
      <w:ind w:left="720"/>
      <w:outlineLvl w:val="7"/>
    </w:pPr>
    <w:rPr>
      <w:i/>
    </w:rPr>
  </w:style>
  <w:style w:type="paragraph" w:styleId="Heading9">
    <w:name w:val="heading 9"/>
    <w:basedOn w:val="Normal"/>
    <w:next w:val="Normal"/>
    <w:link w:val="Heading9Char"/>
    <w:qFormat/>
    <w:rsid w:val="00C9285E"/>
    <w:pPr>
      <w:ind w:left="720"/>
      <w:outlineLvl w:val="8"/>
    </w:pPr>
    <w:rPr>
      <w:i/>
    </w:rPr>
  </w:style>
  <w:style w:type="character" w:default="1" w:styleId="DefaultParagraphFont">
    <w:name w:val="Default Paragraph Font"/>
    <w:uiPriority w:val="1"/>
    <w:unhideWhenUsed/>
    <w:rsid w:val="00C928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85E"/>
  </w:style>
  <w:style w:type="character" w:customStyle="1" w:styleId="Heading1Char">
    <w:name w:val="Heading 1 Char"/>
    <w:basedOn w:val="DefaultParagraphFont"/>
    <w:link w:val="Heading1"/>
    <w:rsid w:val="00C9285E"/>
    <w:rPr>
      <w:rFonts w:ascii="Times New Roman" w:eastAsia="Times New Roman" w:hAnsi="Times New Roman" w:cs="Times New Roman"/>
      <w:b/>
      <w:sz w:val="32"/>
      <w:szCs w:val="20"/>
      <w:lang w:eastAsia="en-US"/>
    </w:rPr>
  </w:style>
  <w:style w:type="paragraph" w:styleId="BodyText">
    <w:name w:val="Body Text"/>
    <w:basedOn w:val="Normal"/>
    <w:link w:val="BodyTextChar"/>
    <w:rsid w:val="00C928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285E"/>
    <w:rPr>
      <w:rFonts w:ascii="Times New Roman" w:eastAsia="Times New Roman" w:hAnsi="Times New Roman" w:cs="Times New Roman"/>
      <w:sz w:val="24"/>
      <w:lang w:eastAsia="en-US"/>
    </w:rPr>
  </w:style>
  <w:style w:type="paragraph" w:styleId="ListBullet">
    <w:name w:val="List Bullet"/>
    <w:basedOn w:val="List"/>
    <w:rsid w:val="00C9285E"/>
    <w:pPr>
      <w:numPr>
        <w:numId w:val="13"/>
      </w:numPr>
      <w:tabs>
        <w:tab w:val="clear" w:pos="340"/>
      </w:tabs>
      <w:spacing w:before="40" w:after="40"/>
    </w:pPr>
  </w:style>
  <w:style w:type="character" w:customStyle="1" w:styleId="SpecialBold">
    <w:name w:val="Special Bold"/>
    <w:basedOn w:val="DefaultParagraphFont"/>
    <w:rsid w:val="00C9285E"/>
    <w:rPr>
      <w:b/>
      <w:spacing w:val="0"/>
    </w:rPr>
  </w:style>
  <w:style w:type="paragraph" w:styleId="ListBullet2">
    <w:name w:val="List Bullet 2"/>
    <w:basedOn w:val="List2"/>
    <w:rsid w:val="00C9285E"/>
    <w:pPr>
      <w:numPr>
        <w:numId w:val="14"/>
      </w:numPr>
      <w:tabs>
        <w:tab w:val="clear" w:pos="680"/>
      </w:tabs>
    </w:pPr>
  </w:style>
  <w:style w:type="character" w:styleId="Emphasis">
    <w:name w:val="Emphasis"/>
    <w:basedOn w:val="DefaultParagraphFont"/>
    <w:qFormat/>
    <w:rsid w:val="00C9285E"/>
    <w:rPr>
      <w:i/>
    </w:rPr>
  </w:style>
  <w:style w:type="paragraph" w:customStyle="1" w:styleId="SuperHeading">
    <w:name w:val="SuperHeading"/>
    <w:basedOn w:val="Normal"/>
    <w:rsid w:val="00C9285E"/>
    <w:pPr>
      <w:spacing w:before="240" w:after="120"/>
      <w:outlineLvl w:val="0"/>
    </w:pPr>
    <w:rPr>
      <w:rFonts w:ascii="Times New Roman" w:hAnsi="Times New Roman"/>
      <w:b/>
      <w:sz w:val="32"/>
    </w:rPr>
  </w:style>
  <w:style w:type="paragraph" w:customStyle="1" w:styleId="AllowPageBreak">
    <w:name w:val="AllowPageBreak"/>
    <w:rsid w:val="00C928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C9285E"/>
    <w:rPr>
      <w:rFonts w:ascii="Courier New" w:hAnsi="Courier New"/>
    </w:rPr>
  </w:style>
  <w:style w:type="paragraph" w:styleId="ListBullet3">
    <w:name w:val="List Bullet 3"/>
    <w:basedOn w:val="List3"/>
    <w:rsid w:val="00C9285E"/>
    <w:pPr>
      <w:numPr>
        <w:numId w:val="3"/>
      </w:numPr>
      <w:tabs>
        <w:tab w:val="clear" w:pos="1021"/>
      </w:tabs>
      <w:ind w:left="1037" w:hanging="357"/>
    </w:pPr>
  </w:style>
  <w:style w:type="character" w:customStyle="1" w:styleId="Heading2Char">
    <w:name w:val="Heading 2 Char"/>
    <w:basedOn w:val="DefaultParagraphFont"/>
    <w:link w:val="Heading2"/>
    <w:rsid w:val="00C928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8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8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8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8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8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28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285E"/>
    <w:rPr>
      <w:rFonts w:ascii="Courier New" w:eastAsia="Times New Roman" w:hAnsi="Courier New" w:cs="Times New Roman"/>
      <w:i/>
      <w:szCs w:val="20"/>
      <w:lang w:eastAsia="en-US"/>
    </w:rPr>
  </w:style>
  <w:style w:type="paragraph" w:customStyle="1" w:styleId="HeadingBase">
    <w:name w:val="Heading Base"/>
    <w:rsid w:val="00C928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85E"/>
    <w:pPr>
      <w:tabs>
        <w:tab w:val="right" w:leader="dot" w:pos="9072"/>
      </w:tabs>
      <w:ind w:left="567"/>
    </w:pPr>
    <w:rPr>
      <w:szCs w:val="22"/>
    </w:rPr>
  </w:style>
  <w:style w:type="paragraph" w:customStyle="1" w:styleId="TOCBase">
    <w:name w:val="TOC Base"/>
    <w:rsid w:val="00C928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85E"/>
    <w:pPr>
      <w:tabs>
        <w:tab w:val="right" w:leader="dot" w:pos="9072"/>
      </w:tabs>
      <w:spacing w:before="40" w:after="40"/>
      <w:ind w:left="284"/>
    </w:pPr>
    <w:rPr>
      <w:rFonts w:ascii="Times New Roman" w:hAnsi="Times New Roman"/>
    </w:rPr>
  </w:style>
  <w:style w:type="paragraph" w:styleId="TOC1">
    <w:name w:val="toc 1"/>
    <w:basedOn w:val="TOCBase"/>
    <w:next w:val="Normal"/>
    <w:rsid w:val="00C928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28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85E"/>
    <w:rPr>
      <w:rFonts w:ascii="Times New Roman" w:eastAsia="Times New Roman" w:hAnsi="Times New Roman" w:cs="Times New Roman"/>
      <w:sz w:val="16"/>
      <w:lang w:eastAsia="en-US"/>
    </w:rPr>
  </w:style>
  <w:style w:type="paragraph" w:styleId="Title">
    <w:name w:val="Title"/>
    <w:basedOn w:val="HeadingBase"/>
    <w:link w:val="TitleChar"/>
    <w:qFormat/>
    <w:rsid w:val="00C9285E"/>
    <w:pPr>
      <w:spacing w:before="5040"/>
      <w:jc w:val="center"/>
    </w:pPr>
    <w:rPr>
      <w:sz w:val="48"/>
      <w:szCs w:val="72"/>
      <w:lang w:val="en-US"/>
    </w:rPr>
  </w:style>
  <w:style w:type="character" w:customStyle="1" w:styleId="TitleChar">
    <w:name w:val="Title Char"/>
    <w:basedOn w:val="DefaultParagraphFont"/>
    <w:link w:val="Title"/>
    <w:rsid w:val="00C928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85E"/>
    <w:pPr>
      <w:tabs>
        <w:tab w:val="left" w:pos="3600"/>
        <w:tab w:val="left" w:pos="3958"/>
      </w:tabs>
    </w:pPr>
  </w:style>
  <w:style w:type="paragraph" w:styleId="List">
    <w:name w:val="List"/>
    <w:basedOn w:val="BodyText"/>
    <w:next w:val="BodyText"/>
    <w:rsid w:val="00C9285E"/>
    <w:pPr>
      <w:tabs>
        <w:tab w:val="left" w:pos="340"/>
      </w:tabs>
      <w:spacing w:before="60" w:after="60"/>
      <w:ind w:left="340" w:hanging="340"/>
    </w:pPr>
  </w:style>
  <w:style w:type="paragraph" w:customStyle="1" w:styleId="Note">
    <w:name w:val="Note"/>
    <w:basedOn w:val="BodyText"/>
    <w:rsid w:val="00C928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85E"/>
    <w:pPr>
      <w:framePr w:wrap="auto" w:hAnchor="text" w:y="6049"/>
    </w:pPr>
    <w:rPr>
      <w:color w:val="000000"/>
      <w:sz w:val="40"/>
    </w:rPr>
  </w:style>
  <w:style w:type="paragraph" w:customStyle="1" w:styleId="TOCTitle">
    <w:name w:val="TOCTitle"/>
    <w:basedOn w:val="Heading1"/>
    <w:rsid w:val="00C9285E"/>
    <w:pPr>
      <w:spacing w:after="240"/>
      <w:jc w:val="center"/>
      <w:outlineLvl w:val="9"/>
    </w:pPr>
    <w:rPr>
      <w:caps/>
    </w:rPr>
  </w:style>
  <w:style w:type="paragraph" w:customStyle="1" w:styleId="Version">
    <w:name w:val="Version"/>
    <w:rsid w:val="00C928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285E"/>
    <w:pPr>
      <w:keepNext w:val="0"/>
      <w:tabs>
        <w:tab w:val="right" w:pos="4176"/>
      </w:tabs>
      <w:ind w:left="198" w:hanging="198"/>
    </w:pPr>
    <w:rPr>
      <w:rFonts w:ascii="Garamond" w:hAnsi="Garamond"/>
    </w:rPr>
  </w:style>
  <w:style w:type="paragraph" w:styleId="IndexHeading">
    <w:name w:val="index heading"/>
    <w:basedOn w:val="Normal"/>
    <w:next w:val="Index1"/>
    <w:semiHidden/>
    <w:rsid w:val="00C9285E"/>
    <w:pPr>
      <w:spacing w:before="120" w:after="120"/>
    </w:pPr>
    <w:rPr>
      <w:rFonts w:ascii="Arial" w:hAnsi="Arial"/>
      <w:b/>
      <w:color w:val="918585"/>
      <w:sz w:val="24"/>
    </w:rPr>
  </w:style>
  <w:style w:type="paragraph" w:styleId="Header">
    <w:name w:val="header"/>
    <w:basedOn w:val="Normal"/>
    <w:link w:val="HeaderChar"/>
    <w:rsid w:val="00C928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85E"/>
    <w:rPr>
      <w:rFonts w:ascii="Times New Roman" w:eastAsia="Times New Roman" w:hAnsi="Times New Roman" w:cs="Times New Roman"/>
      <w:sz w:val="16"/>
      <w:szCs w:val="20"/>
      <w:lang w:val="en-GB" w:eastAsia="en-US"/>
    </w:rPr>
  </w:style>
  <w:style w:type="paragraph" w:customStyle="1" w:styleId="Chapter">
    <w:name w:val="Chapter"/>
    <w:basedOn w:val="Normal"/>
    <w:rsid w:val="00C9285E"/>
    <w:pPr>
      <w:spacing w:before="240"/>
    </w:pPr>
    <w:rPr>
      <w:rFonts w:ascii="Times New Roman" w:hAnsi="Times New Roman"/>
      <w:smallCaps/>
      <w:spacing w:val="80"/>
      <w:sz w:val="28"/>
    </w:rPr>
  </w:style>
  <w:style w:type="paragraph" w:customStyle="1" w:styleId="InChapter">
    <w:name w:val="InChapter"/>
    <w:basedOn w:val="Heading3"/>
    <w:rsid w:val="00C9285E"/>
    <w:pPr>
      <w:spacing w:after="240"/>
      <w:outlineLvl w:val="9"/>
    </w:pPr>
    <w:rPr>
      <w:noProof/>
    </w:rPr>
  </w:style>
  <w:style w:type="paragraph" w:styleId="Index2">
    <w:name w:val="index 2"/>
    <w:basedOn w:val="Normal"/>
    <w:next w:val="Normal"/>
    <w:semiHidden/>
    <w:rsid w:val="00C9285E"/>
    <w:pPr>
      <w:tabs>
        <w:tab w:val="right" w:pos="4176"/>
      </w:tabs>
      <w:ind w:left="568" w:hanging="284"/>
    </w:pPr>
    <w:rPr>
      <w:rFonts w:ascii="Garamond" w:hAnsi="Garamond"/>
    </w:rPr>
  </w:style>
  <w:style w:type="paragraph" w:customStyle="1" w:styleId="Byline">
    <w:name w:val="Byline"/>
    <w:rsid w:val="00C928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85E"/>
    <w:pPr>
      <w:tabs>
        <w:tab w:val="clear" w:pos="3600"/>
        <w:tab w:val="clear" w:pos="3958"/>
      </w:tabs>
      <w:jc w:val="right"/>
    </w:pPr>
  </w:style>
  <w:style w:type="paragraph" w:styleId="Caption">
    <w:name w:val="caption"/>
    <w:basedOn w:val="BodyText"/>
    <w:next w:val="Normal"/>
    <w:qFormat/>
    <w:rsid w:val="00C9285E"/>
    <w:pPr>
      <w:framePr w:w="2268" w:hSpace="181" w:vSpace="181" w:wrap="around" w:vAnchor="text" w:hAnchor="page" w:x="1135" w:y="285" w:anchorLock="1"/>
    </w:pPr>
    <w:rPr>
      <w:i/>
    </w:rPr>
  </w:style>
  <w:style w:type="paragraph" w:customStyle="1" w:styleId="MiniTOCTitle">
    <w:name w:val="MiniTOCTitle"/>
    <w:basedOn w:val="Heading4"/>
    <w:rsid w:val="00C9285E"/>
    <w:pPr>
      <w:spacing w:before="240"/>
      <w:outlineLvl w:val="9"/>
    </w:pPr>
    <w:rPr>
      <w:noProof/>
      <w:sz w:val="24"/>
    </w:rPr>
  </w:style>
  <w:style w:type="paragraph" w:customStyle="1" w:styleId="MiniTOCItem">
    <w:name w:val="MiniTOCItem"/>
    <w:basedOn w:val="ListBullet"/>
    <w:rsid w:val="00C9285E"/>
    <w:pPr>
      <w:numPr>
        <w:numId w:val="0"/>
      </w:numPr>
      <w:tabs>
        <w:tab w:val="right" w:leader="dot" w:pos="6521"/>
      </w:tabs>
      <w:spacing w:before="0" w:after="0"/>
    </w:pPr>
  </w:style>
  <w:style w:type="paragraph" w:customStyle="1" w:styleId="TOFTitle">
    <w:name w:val="TOFTitle"/>
    <w:basedOn w:val="TOCTitle"/>
    <w:rsid w:val="00C9285E"/>
  </w:style>
  <w:style w:type="paragraph" w:styleId="TableofFigures">
    <w:name w:val="table of figures"/>
    <w:basedOn w:val="Normal"/>
    <w:next w:val="Normal"/>
    <w:semiHidden/>
    <w:rsid w:val="00C9285E"/>
    <w:pPr>
      <w:tabs>
        <w:tab w:val="right" w:leader="dot" w:pos="9072"/>
      </w:tabs>
      <w:ind w:left="970" w:hanging="403"/>
    </w:pPr>
    <w:rPr>
      <w:rFonts w:ascii="Times New Roman" w:hAnsi="Times New Roman"/>
      <w:b/>
    </w:rPr>
  </w:style>
  <w:style w:type="paragraph" w:styleId="ListNumber">
    <w:name w:val="List Number"/>
    <w:basedOn w:val="List"/>
    <w:rsid w:val="00C9285E"/>
    <w:pPr>
      <w:numPr>
        <w:numId w:val="16"/>
      </w:numPr>
      <w:tabs>
        <w:tab w:val="clear" w:pos="340"/>
      </w:tabs>
    </w:pPr>
  </w:style>
  <w:style w:type="character" w:customStyle="1" w:styleId="WingdingSymbols">
    <w:name w:val="Wingding Symbols"/>
    <w:rsid w:val="00C9285E"/>
    <w:rPr>
      <w:rFonts w:ascii="Wingdings" w:hAnsi="Wingdings"/>
    </w:rPr>
  </w:style>
  <w:style w:type="paragraph" w:customStyle="1" w:styleId="TableHeading">
    <w:name w:val="Table Heading"/>
    <w:basedOn w:val="HeadingBase"/>
    <w:rsid w:val="00C9285E"/>
    <w:pPr>
      <w:keepLines/>
      <w:pBdr>
        <w:bottom w:val="single" w:sz="6" w:space="1" w:color="918585"/>
      </w:pBdr>
      <w:spacing w:before="240"/>
    </w:pPr>
  </w:style>
  <w:style w:type="character" w:customStyle="1" w:styleId="HotSpot">
    <w:name w:val="HotSpot"/>
    <w:rsid w:val="00C9285E"/>
    <w:rPr>
      <w:color w:val="0033CC"/>
      <w:u w:val="none"/>
    </w:rPr>
  </w:style>
  <w:style w:type="paragraph" w:customStyle="1" w:styleId="BodyTextRight">
    <w:name w:val="Body Text Right"/>
    <w:basedOn w:val="BodyText"/>
    <w:rsid w:val="00C9285E"/>
    <w:pPr>
      <w:spacing w:before="0" w:after="0"/>
      <w:jc w:val="right"/>
    </w:pPr>
  </w:style>
  <w:style w:type="paragraph" w:styleId="Index3">
    <w:name w:val="index 3"/>
    <w:basedOn w:val="ListNumber2"/>
    <w:next w:val="Normal"/>
    <w:semiHidden/>
    <w:rsid w:val="00C9285E"/>
    <w:pPr>
      <w:numPr>
        <w:numId w:val="0"/>
      </w:numPr>
      <w:tabs>
        <w:tab w:val="right" w:leader="dot" w:pos="4176"/>
      </w:tabs>
    </w:pPr>
  </w:style>
  <w:style w:type="paragraph" w:styleId="ListNumber2">
    <w:name w:val="List Number 2"/>
    <w:basedOn w:val="List2"/>
    <w:rsid w:val="00C9285E"/>
    <w:pPr>
      <w:numPr>
        <w:numId w:val="11"/>
      </w:numPr>
      <w:tabs>
        <w:tab w:val="clear" w:pos="1060"/>
      </w:tabs>
    </w:pPr>
  </w:style>
  <w:style w:type="paragraph" w:customStyle="1" w:styleId="MarginNote">
    <w:name w:val="Margin Note"/>
    <w:basedOn w:val="BodyText"/>
    <w:rsid w:val="00C928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8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8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285E"/>
    <w:rPr>
      <w:sz w:val="32"/>
    </w:rPr>
  </w:style>
  <w:style w:type="paragraph" w:customStyle="1" w:styleId="HeadingProcedure">
    <w:name w:val="Heading Procedure"/>
    <w:basedOn w:val="HeadingBase"/>
    <w:next w:val="Normal"/>
    <w:rsid w:val="00C9285E"/>
    <w:pPr>
      <w:tabs>
        <w:tab w:val="left" w:pos="0"/>
      </w:tabs>
      <w:spacing w:before="120" w:after="60"/>
    </w:pPr>
    <w:rPr>
      <w:i/>
      <w:color w:val="918585"/>
      <w:sz w:val="22"/>
    </w:rPr>
  </w:style>
  <w:style w:type="paragraph" w:customStyle="1" w:styleId="TableBodyText">
    <w:name w:val="Table Body Text"/>
    <w:basedOn w:val="BodyText"/>
    <w:rsid w:val="00C9285E"/>
    <w:pPr>
      <w:spacing w:before="60" w:after="60"/>
    </w:pPr>
  </w:style>
  <w:style w:type="paragraph" w:styleId="ListContinue">
    <w:name w:val="List Continue"/>
    <w:basedOn w:val="List"/>
    <w:rsid w:val="00C9285E"/>
    <w:pPr>
      <w:ind w:firstLine="0"/>
    </w:pPr>
  </w:style>
  <w:style w:type="paragraph" w:customStyle="1" w:styleId="ListNote">
    <w:name w:val="List Note"/>
    <w:basedOn w:val="List"/>
    <w:rsid w:val="00C9285E"/>
    <w:pPr>
      <w:pBdr>
        <w:top w:val="single" w:sz="6" w:space="2" w:color="918585"/>
        <w:bottom w:val="single" w:sz="6" w:space="2" w:color="918585"/>
      </w:pBdr>
      <w:tabs>
        <w:tab w:val="left" w:pos="1021"/>
      </w:tabs>
      <w:ind w:firstLine="0"/>
    </w:pPr>
  </w:style>
  <w:style w:type="paragraph" w:customStyle="1" w:styleId="Warning">
    <w:name w:val="Warning"/>
    <w:basedOn w:val="BodyText"/>
    <w:rsid w:val="00C9285E"/>
    <w:pPr>
      <w:shd w:val="clear" w:color="auto" w:fill="D9D9D9"/>
      <w:tabs>
        <w:tab w:val="left" w:pos="992"/>
      </w:tabs>
      <w:ind w:left="119" w:right="119"/>
    </w:pPr>
    <w:rPr>
      <w:sz w:val="20"/>
    </w:rPr>
  </w:style>
  <w:style w:type="paragraph" w:customStyle="1" w:styleId="MarginIcons">
    <w:name w:val="Margin Icons"/>
    <w:basedOn w:val="BodyText"/>
    <w:rsid w:val="00C9285E"/>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C9285E"/>
    <w:pPr>
      <w:tabs>
        <w:tab w:val="clear" w:pos="680"/>
      </w:tabs>
      <w:spacing w:before="60" w:after="60"/>
    </w:pPr>
  </w:style>
  <w:style w:type="paragraph" w:customStyle="1" w:styleId="SubHeading2">
    <w:name w:val="SubHeading2"/>
    <w:basedOn w:val="HeadingBase"/>
    <w:rsid w:val="00C9285E"/>
    <w:pPr>
      <w:spacing w:before="240" w:after="60"/>
    </w:pPr>
    <w:rPr>
      <w:sz w:val="20"/>
    </w:rPr>
  </w:style>
  <w:style w:type="paragraph" w:customStyle="1" w:styleId="SubHeading1">
    <w:name w:val="SubHeading1"/>
    <w:basedOn w:val="HeadingBase"/>
    <w:rsid w:val="00C9285E"/>
    <w:pPr>
      <w:spacing w:before="240" w:after="60"/>
    </w:pPr>
    <w:rPr>
      <w:color w:val="918585"/>
      <w:sz w:val="22"/>
    </w:rPr>
  </w:style>
  <w:style w:type="paragraph" w:customStyle="1" w:styleId="SideHeading">
    <w:name w:val="Side Heading"/>
    <w:basedOn w:val="HeadingBase"/>
    <w:rsid w:val="00C928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85E"/>
    <w:pPr>
      <w:numPr>
        <w:numId w:val="12"/>
      </w:numPr>
    </w:pPr>
  </w:style>
  <w:style w:type="paragraph" w:styleId="PlainText">
    <w:name w:val="Plain Text"/>
    <w:basedOn w:val="Normal"/>
    <w:link w:val="PlainTextChar"/>
    <w:rsid w:val="00C9285E"/>
    <w:rPr>
      <w:sz w:val="20"/>
    </w:rPr>
  </w:style>
  <w:style w:type="character" w:customStyle="1" w:styleId="PlainTextChar">
    <w:name w:val="Plain Text Char"/>
    <w:basedOn w:val="DefaultParagraphFont"/>
    <w:link w:val="PlainText"/>
    <w:rsid w:val="00C9285E"/>
    <w:rPr>
      <w:rFonts w:ascii="Courier New" w:eastAsia="Times New Roman" w:hAnsi="Courier New" w:cs="Times New Roman"/>
      <w:sz w:val="20"/>
      <w:szCs w:val="20"/>
      <w:lang w:eastAsia="en-US"/>
    </w:rPr>
  </w:style>
  <w:style w:type="character" w:customStyle="1" w:styleId="MenuOption">
    <w:name w:val="Menu Option"/>
    <w:basedOn w:val="DefaultParagraphFont"/>
    <w:rsid w:val="00C9285E"/>
    <w:rPr>
      <w:b/>
      <w:smallCaps/>
    </w:rPr>
  </w:style>
  <w:style w:type="paragraph" w:customStyle="1" w:styleId="TableListNumber">
    <w:name w:val="Table List Number"/>
    <w:basedOn w:val="ListNumber"/>
    <w:rsid w:val="00C9285E"/>
    <w:pPr>
      <w:numPr>
        <w:numId w:val="0"/>
      </w:numPr>
    </w:pPr>
  </w:style>
  <w:style w:type="paragraph" w:styleId="TOC4">
    <w:name w:val="toc 4"/>
    <w:basedOn w:val="TOCBase"/>
    <w:next w:val="Normal"/>
    <w:semiHidden/>
    <w:rsid w:val="00C9285E"/>
    <w:pPr>
      <w:tabs>
        <w:tab w:val="right" w:leader="dot" w:pos="9071"/>
      </w:tabs>
      <w:ind w:left="1701"/>
    </w:pPr>
  </w:style>
  <w:style w:type="paragraph" w:customStyle="1" w:styleId="ListAlpha">
    <w:name w:val="List Alpha"/>
    <w:basedOn w:val="List"/>
    <w:rsid w:val="00C9285E"/>
    <w:pPr>
      <w:numPr>
        <w:numId w:val="10"/>
      </w:numPr>
    </w:pPr>
  </w:style>
  <w:style w:type="paragraph" w:customStyle="1" w:styleId="ListAlpha2">
    <w:name w:val="List Alpha 2"/>
    <w:basedOn w:val="List2"/>
    <w:rsid w:val="00C9285E"/>
    <w:pPr>
      <w:numPr>
        <w:numId w:val="9"/>
      </w:numPr>
    </w:pPr>
  </w:style>
  <w:style w:type="paragraph" w:styleId="List2">
    <w:name w:val="List 2"/>
    <w:basedOn w:val="BodyText"/>
    <w:rsid w:val="00C9285E"/>
    <w:pPr>
      <w:tabs>
        <w:tab w:val="left" w:pos="680"/>
      </w:tabs>
      <w:spacing w:before="60" w:after="60"/>
      <w:ind w:left="680" w:hanging="340"/>
    </w:pPr>
  </w:style>
  <w:style w:type="paragraph" w:styleId="List3">
    <w:name w:val="List 3"/>
    <w:basedOn w:val="BodyText"/>
    <w:rsid w:val="00C9285E"/>
    <w:pPr>
      <w:tabs>
        <w:tab w:val="left" w:pos="1021"/>
      </w:tabs>
      <w:spacing w:before="60" w:after="60"/>
      <w:ind w:left="1020" w:hanging="340"/>
    </w:pPr>
  </w:style>
  <w:style w:type="paragraph" w:styleId="List4">
    <w:name w:val="List 4"/>
    <w:basedOn w:val="BodyText"/>
    <w:rsid w:val="00C9285E"/>
    <w:pPr>
      <w:tabs>
        <w:tab w:val="left" w:pos="1361"/>
      </w:tabs>
      <w:spacing w:before="60" w:after="60"/>
      <w:ind w:left="1361" w:hanging="340"/>
    </w:pPr>
  </w:style>
  <w:style w:type="paragraph" w:styleId="List5">
    <w:name w:val="List 5"/>
    <w:basedOn w:val="BodyText"/>
    <w:rsid w:val="00C9285E"/>
    <w:pPr>
      <w:tabs>
        <w:tab w:val="left" w:pos="1701"/>
      </w:tabs>
      <w:spacing w:before="60" w:after="60"/>
      <w:ind w:left="1701" w:hanging="340"/>
    </w:pPr>
  </w:style>
  <w:style w:type="paragraph" w:styleId="ListBullet4">
    <w:name w:val="List Bullet 4"/>
    <w:basedOn w:val="List4"/>
    <w:rsid w:val="00C9285E"/>
    <w:pPr>
      <w:numPr>
        <w:numId w:val="4"/>
      </w:numPr>
      <w:tabs>
        <w:tab w:val="clear" w:pos="1361"/>
      </w:tabs>
    </w:pPr>
  </w:style>
  <w:style w:type="paragraph" w:styleId="ListBullet5">
    <w:name w:val="List Bullet 5"/>
    <w:basedOn w:val="List5"/>
    <w:rsid w:val="00C9285E"/>
    <w:pPr>
      <w:numPr>
        <w:numId w:val="5"/>
      </w:numPr>
    </w:pPr>
  </w:style>
  <w:style w:type="paragraph" w:styleId="ListContinue2">
    <w:name w:val="List Continue 2"/>
    <w:basedOn w:val="List2"/>
    <w:rsid w:val="00C9285E"/>
    <w:pPr>
      <w:ind w:firstLine="0"/>
    </w:pPr>
  </w:style>
  <w:style w:type="paragraph" w:styleId="ListContinue3">
    <w:name w:val="List Continue 3"/>
    <w:basedOn w:val="List3"/>
    <w:rsid w:val="00C9285E"/>
    <w:pPr>
      <w:ind w:left="1021" w:firstLine="0"/>
    </w:pPr>
  </w:style>
  <w:style w:type="paragraph" w:styleId="ListContinue4">
    <w:name w:val="List Continue 4"/>
    <w:basedOn w:val="List4"/>
    <w:rsid w:val="00C9285E"/>
    <w:pPr>
      <w:ind w:firstLine="0"/>
    </w:pPr>
  </w:style>
  <w:style w:type="paragraph" w:styleId="ListContinue5">
    <w:name w:val="List Continue 5"/>
    <w:basedOn w:val="List5"/>
    <w:rsid w:val="00C9285E"/>
    <w:pPr>
      <w:ind w:firstLine="0"/>
    </w:pPr>
  </w:style>
  <w:style w:type="paragraph" w:styleId="ListNumber3">
    <w:name w:val="List Number 3"/>
    <w:basedOn w:val="List3"/>
    <w:rsid w:val="00C9285E"/>
    <w:pPr>
      <w:numPr>
        <w:numId w:val="6"/>
      </w:numPr>
    </w:pPr>
  </w:style>
  <w:style w:type="paragraph" w:styleId="ListNumber4">
    <w:name w:val="List Number 4"/>
    <w:basedOn w:val="List4"/>
    <w:rsid w:val="00C9285E"/>
    <w:pPr>
      <w:numPr>
        <w:numId w:val="7"/>
      </w:numPr>
    </w:pPr>
  </w:style>
  <w:style w:type="paragraph" w:styleId="ListNumber5">
    <w:name w:val="List Number 5"/>
    <w:basedOn w:val="List5"/>
    <w:rsid w:val="00C9285E"/>
    <w:pPr>
      <w:numPr>
        <w:numId w:val="8"/>
      </w:numPr>
    </w:pPr>
  </w:style>
  <w:style w:type="paragraph" w:styleId="BlockText">
    <w:name w:val="Block Text"/>
    <w:basedOn w:val="Normal"/>
    <w:rsid w:val="00C9285E"/>
    <w:pPr>
      <w:spacing w:after="120"/>
      <w:ind w:left="1440" w:right="1440"/>
    </w:pPr>
  </w:style>
  <w:style w:type="character" w:customStyle="1" w:styleId="Subscript">
    <w:name w:val="Subscript"/>
    <w:basedOn w:val="DefaultParagraphFont"/>
    <w:rsid w:val="00C9285E"/>
    <w:rPr>
      <w:sz w:val="16"/>
      <w:vertAlign w:val="subscript"/>
    </w:rPr>
  </w:style>
  <w:style w:type="character" w:customStyle="1" w:styleId="Superscript">
    <w:name w:val="Superscript"/>
    <w:basedOn w:val="DefaultParagraphFont"/>
    <w:rsid w:val="00C9285E"/>
    <w:rPr>
      <w:sz w:val="16"/>
      <w:vertAlign w:val="superscript"/>
    </w:rPr>
  </w:style>
  <w:style w:type="character" w:customStyle="1" w:styleId="Symbols">
    <w:name w:val="Symbols"/>
    <w:basedOn w:val="DefaultParagraphFont"/>
    <w:rsid w:val="00C9285E"/>
    <w:rPr>
      <w:rFonts w:ascii="Symbol" w:hAnsi="Symbol"/>
    </w:rPr>
  </w:style>
  <w:style w:type="character" w:customStyle="1" w:styleId="MenuOptions">
    <w:name w:val="Menu Options"/>
    <w:basedOn w:val="DefaultParagraphFont"/>
    <w:rsid w:val="00C9285E"/>
    <w:rPr>
      <w:rFonts w:ascii="Arial Narrow" w:hAnsi="Arial Narrow"/>
      <w:smallCaps/>
    </w:rPr>
  </w:style>
  <w:style w:type="character" w:customStyle="1" w:styleId="Buttons">
    <w:name w:val="Buttons"/>
    <w:basedOn w:val="DefaultParagraphFont"/>
    <w:rsid w:val="00C9285E"/>
    <w:rPr>
      <w:b/>
    </w:rPr>
  </w:style>
  <w:style w:type="character" w:customStyle="1" w:styleId="Underlined">
    <w:name w:val="Underlined"/>
    <w:basedOn w:val="DefaultParagraphFont"/>
    <w:rsid w:val="00C9285E"/>
    <w:rPr>
      <w:u w:val="single"/>
    </w:rPr>
  </w:style>
  <w:style w:type="paragraph" w:customStyle="1" w:styleId="TableBodyTextRight">
    <w:name w:val="Table Body Text Right"/>
    <w:basedOn w:val="TableBodyText"/>
    <w:rsid w:val="00C9285E"/>
    <w:pPr>
      <w:widowControl w:val="0"/>
      <w:autoSpaceDE w:val="0"/>
      <w:autoSpaceDN w:val="0"/>
      <w:adjustRightInd w:val="0"/>
      <w:jc w:val="right"/>
    </w:pPr>
    <w:rPr>
      <w:rFonts w:cs="Arial"/>
      <w:szCs w:val="18"/>
    </w:rPr>
  </w:style>
  <w:style w:type="paragraph" w:customStyle="1" w:styleId="CopyrightText">
    <w:name w:val="Copyright Text"/>
    <w:basedOn w:val="BodyText"/>
    <w:rsid w:val="00C9285E"/>
    <w:rPr>
      <w:sz w:val="18"/>
    </w:rPr>
  </w:style>
  <w:style w:type="paragraph" w:customStyle="1" w:styleId="BodySmallRight">
    <w:name w:val="Body Small Right"/>
    <w:basedOn w:val="BodyTextRight"/>
    <w:rsid w:val="00C9285E"/>
    <w:rPr>
      <w:sz w:val="18"/>
      <w:szCs w:val="18"/>
    </w:rPr>
  </w:style>
  <w:style w:type="paragraph" w:customStyle="1" w:styleId="MarginEdition">
    <w:name w:val="Margin Edition"/>
    <w:basedOn w:val="MarginNote"/>
    <w:rsid w:val="00C9285E"/>
    <w:pPr>
      <w:spacing w:before="0" w:after="0"/>
    </w:pPr>
    <w:rPr>
      <w:rFonts w:ascii="Times New Roman" w:hAnsi="Times New Roman"/>
      <w:color w:val="999999"/>
    </w:rPr>
  </w:style>
  <w:style w:type="paragraph" w:customStyle="1" w:styleId="Spacer">
    <w:name w:val="Spacer"/>
    <w:basedOn w:val="Normal"/>
    <w:rsid w:val="00C9285E"/>
    <w:rPr>
      <w:sz w:val="2"/>
      <w:szCs w:val="2"/>
    </w:rPr>
  </w:style>
  <w:style w:type="character" w:customStyle="1" w:styleId="Small">
    <w:name w:val="Small"/>
    <w:basedOn w:val="DefaultParagraphFont"/>
    <w:rsid w:val="00C9285E"/>
    <w:rPr>
      <w:sz w:val="16"/>
    </w:rPr>
  </w:style>
  <w:style w:type="paragraph" w:customStyle="1" w:styleId="WideTable">
    <w:name w:val="Wide Table"/>
    <w:basedOn w:val="Normal"/>
    <w:rsid w:val="00C9285E"/>
    <w:pPr>
      <w:ind w:left="-1418"/>
    </w:pPr>
    <w:rPr>
      <w:sz w:val="2"/>
      <w:szCs w:val="2"/>
    </w:rPr>
  </w:style>
  <w:style w:type="character" w:styleId="PageNumber">
    <w:name w:val="page number"/>
    <w:basedOn w:val="DefaultParagraphFont"/>
    <w:rsid w:val="00C9285E"/>
  </w:style>
  <w:style w:type="paragraph" w:styleId="Quote">
    <w:name w:val="Quote"/>
    <w:basedOn w:val="Heading1"/>
    <w:link w:val="QuoteChar"/>
    <w:qFormat/>
    <w:rsid w:val="00C9285E"/>
    <w:rPr>
      <w:b w:val="0"/>
      <w:sz w:val="72"/>
      <w:szCs w:val="72"/>
      <w:lang w:val="en-NZ"/>
    </w:rPr>
  </w:style>
  <w:style w:type="character" w:customStyle="1" w:styleId="QuoteChar">
    <w:name w:val="Quote Char"/>
    <w:basedOn w:val="DefaultParagraphFont"/>
    <w:link w:val="Quote"/>
    <w:rsid w:val="00C928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85E"/>
    <w:pPr>
      <w:pageBreakBefore/>
    </w:pPr>
  </w:style>
  <w:style w:type="paragraph" w:customStyle="1" w:styleId="Border">
    <w:name w:val="Border"/>
    <w:basedOn w:val="Normal"/>
    <w:qFormat/>
    <w:rsid w:val="00C928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85E"/>
    <w:rPr>
      <w:b/>
      <w:bCs/>
      <w:i/>
      <w:iCs/>
      <w:color w:val="auto"/>
    </w:rPr>
  </w:style>
  <w:style w:type="paragraph" w:styleId="IntenseQuote">
    <w:name w:val="Intense Quote"/>
    <w:basedOn w:val="Normal"/>
    <w:next w:val="Normal"/>
    <w:link w:val="IntenseQuoteChar"/>
    <w:uiPriority w:val="30"/>
    <w:qFormat/>
    <w:rsid w:val="00C928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8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285E"/>
    <w:rPr>
      <w:smallCaps/>
      <w:color w:val="auto"/>
      <w:u w:val="single"/>
    </w:rPr>
  </w:style>
  <w:style w:type="character" w:styleId="IntenseReference">
    <w:name w:val="Intense Reference"/>
    <w:basedOn w:val="DefaultParagraphFont"/>
    <w:uiPriority w:val="32"/>
    <w:qFormat/>
    <w:rsid w:val="00C9285E"/>
    <w:rPr>
      <w:b/>
      <w:bCs/>
      <w:smallCaps/>
      <w:color w:val="auto"/>
      <w:spacing w:val="5"/>
      <w:u w:val="single"/>
    </w:rPr>
  </w:style>
  <w:style w:type="paragraph" w:customStyle="1" w:styleId="2ColumnHeading">
    <w:name w:val="2Column Heading"/>
    <w:basedOn w:val="BodyText"/>
    <w:qFormat/>
    <w:rsid w:val="00C9285E"/>
    <w:pPr>
      <w:spacing w:after="60"/>
      <w:ind w:left="-2268"/>
    </w:pPr>
    <w:rPr>
      <w:b/>
    </w:rPr>
  </w:style>
  <w:style w:type="paragraph" w:customStyle="1" w:styleId="Heading1TOC">
    <w:name w:val="Heading1 TOC"/>
    <w:basedOn w:val="Normal"/>
    <w:qFormat/>
    <w:rsid w:val="00C9285E"/>
    <w:pPr>
      <w:spacing w:before="240" w:after="120"/>
    </w:pPr>
    <w:rPr>
      <w:rFonts w:ascii="Times New Roman" w:hAnsi="Times New Roman"/>
      <w:b/>
      <w:sz w:val="32"/>
    </w:rPr>
  </w:style>
  <w:style w:type="paragraph" w:customStyle="1" w:styleId="Heading2TOC">
    <w:name w:val="Heading2 TOC"/>
    <w:basedOn w:val="Normal"/>
    <w:qFormat/>
    <w:rsid w:val="00C9285E"/>
    <w:pPr>
      <w:spacing w:before="240" w:after="60"/>
    </w:pPr>
    <w:rPr>
      <w:rFonts w:ascii="Times New Roman" w:hAnsi="Times New Roman"/>
      <w:b/>
      <w:sz w:val="28"/>
    </w:rPr>
  </w:style>
  <w:style w:type="character" w:customStyle="1" w:styleId="Underline">
    <w:name w:val="Underline"/>
    <w:basedOn w:val="DefaultParagraphFont"/>
    <w:qFormat/>
    <w:rsid w:val="00C9285E"/>
    <w:rPr>
      <w:u w:val="single"/>
    </w:rPr>
  </w:style>
  <w:style w:type="character" w:customStyle="1" w:styleId="BoldandItalics">
    <w:name w:val="Bold and Italics"/>
    <w:qFormat/>
    <w:rsid w:val="00C9285E"/>
    <w:rPr>
      <w:b/>
      <w:i/>
      <w:u w:val="none"/>
    </w:rPr>
  </w:style>
  <w:style w:type="paragraph" w:styleId="BalloonText">
    <w:name w:val="Balloon Text"/>
    <w:basedOn w:val="Normal"/>
    <w:link w:val="BalloonTextChar"/>
    <w:rsid w:val="00C9285E"/>
    <w:rPr>
      <w:rFonts w:ascii="Tahoma" w:hAnsi="Tahoma" w:cs="Tahoma"/>
      <w:sz w:val="16"/>
      <w:szCs w:val="16"/>
    </w:rPr>
  </w:style>
  <w:style w:type="character" w:customStyle="1" w:styleId="BalloonTextChar">
    <w:name w:val="Balloon Text Char"/>
    <w:basedOn w:val="DefaultParagraphFont"/>
    <w:link w:val="BalloonText"/>
    <w:rsid w:val="00C928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28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28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285E"/>
    <w:rPr>
      <w:b/>
      <w:color w:val="660033"/>
      <w:spacing w:val="0"/>
    </w:rPr>
  </w:style>
  <w:style w:type="paragraph" w:customStyle="1" w:styleId="Nameditemlist">
    <w:name w:val="Named item list"/>
    <w:basedOn w:val="BodyText"/>
    <w:qFormat/>
    <w:rsid w:val="00C9285E"/>
    <w:pPr>
      <w:tabs>
        <w:tab w:val="left" w:pos="2835"/>
      </w:tabs>
      <w:ind w:left="2835" w:hanging="2835"/>
    </w:pPr>
  </w:style>
  <w:style w:type="paragraph" w:customStyle="1" w:styleId="BodyTextnopadding">
    <w:name w:val="Body Text no padding"/>
    <w:basedOn w:val="BodyText"/>
    <w:qFormat/>
    <w:rsid w:val="00C9285E"/>
    <w:pPr>
      <w:spacing w:before="0" w:after="0"/>
    </w:pPr>
  </w:style>
  <w:style w:type="paragraph" w:customStyle="1" w:styleId="BodyTextBold">
    <w:name w:val="Body Text Bold"/>
    <w:basedOn w:val="BodyText"/>
    <w:qFormat/>
    <w:rsid w:val="00C9285E"/>
    <w:rPr>
      <w:b/>
    </w:rPr>
  </w:style>
  <w:style w:type="character" w:styleId="Hyperlink">
    <w:name w:val="Hyperlink"/>
    <w:basedOn w:val="DefaultParagraphFont"/>
    <w:uiPriority w:val="99"/>
    <w:unhideWhenUsed/>
    <w:rsid w:val="00891D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1422</Words>
  <Characters>9729</Characters>
  <Application>Microsoft Office Word</Application>
  <DocSecurity>0</DocSecurity>
  <Lines>304</Lines>
  <Paragraphs>227</Paragraphs>
  <ScaleCrop>false</ScaleCrop>
  <Company>Author-it Software Corporation Ltd.</Company>
  <LinksUpToDate>false</LinksUpToDate>
  <CharactersWithSpaces>10924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HLTANA006 Assist with clinical procedures used in anaesthesia</dc:title>
  <dc:subject>Approved</dc:subject>
  <dc:creator>HumanAbility</dc:creator>
  <cp:keywords>Release: 2</cp:keywords>
  <dc:description>Review Date: 12 April 2008</dc:description>
  <cp:lastModifiedBy>HSD_TPCMSd.prod</cp:lastModifiedBy>
  <cp:revision>3</cp:revision>
  <dcterms:created xsi:type="dcterms:W3CDTF">2025-03-02T01:42:00Z</dcterms:created>
  <dcterms:modified xsi:type="dcterms:W3CDTF">2025-03-02T01:42:00Z</dcterms:modified>
</cp:coreProperties>
</file>