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6691" w:rsidP="00506691">
      <w:pPr>
        <w:pStyle w:val="Title"/>
      </w:pPr>
      <w:r>
        <w:fldChar w:fldCharType="begin"/>
      </w:r>
      <w:r>
        <w:instrText xml:space="preserve"> TITLE   \* MERGEFORMAT </w:instrText>
      </w:r>
      <w:r>
        <w:fldChar w:fldCharType="separate"/>
      </w:r>
      <w:r>
        <w:t>Assessment Requirements for HLTANA006 Assist with clinical procedures used in anaesthesia</w:t>
      </w:r>
      <w:r>
        <w:fldChar w:fldCharType="end"/>
      </w:r>
    </w:p>
    <w:p w:rsidR="00506691" w:rsidP="00506691">
      <w:pPr>
        <w:pStyle w:val="Version"/>
        <w:sectPr w:rsidSect="00AE58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E58B0" w:rsidP="00AE58B0">
      <w:pPr>
        <w:pStyle w:val="SuperHeading"/>
      </w:pPr>
      <w:r w:rsidRPr="00AE58B0">
        <w:t>Assessment Requirements for HLTANA006 Assist with clinical procedures used in anaesthesia</w:t>
      </w:r>
    </w:p>
    <w:p w:rsidR="00000000" w:rsidRPr="00AE58B0" w:rsidP="00AE58B0">
      <w:pPr>
        <w:pStyle w:val="Heading1"/>
      </w:pPr>
      <w:bookmarkStart w:id="1" w:name="O_855458"/>
      <w:bookmarkEnd w:id="1"/>
      <w:r w:rsidRPr="00AE58B0">
        <w:t>Modification History</w:t>
      </w:r>
    </w:p>
    <w:tbl>
      <w:tblPr>
        <w:tblW w:w="0" w:type="auto"/>
        <w:tblLayout w:type="fixed"/>
        <w:tblCellMar>
          <w:left w:w="62" w:type="dxa"/>
          <w:right w:w="62" w:type="dxa"/>
        </w:tblCellMar>
        <w:tblLook w:val="0000"/>
      </w:tblPr>
      <w:tblGrid>
        <w:gridCol w:w="2790"/>
        <w:gridCol w:w="6344"/>
      </w:tblGrid>
      <w:tr w:rsidTr="00AE58B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8B0" w:rsidP="00AE58B0">
            <w:pPr>
              <w:pStyle w:val="BodyText"/>
            </w:pPr>
            <w:r w:rsidRPr="00AE58B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8B0">
            <w:pPr>
              <w:pStyle w:val="BodyText"/>
              <w:rPr>
                <w:lang w:val="en-NZ"/>
              </w:rPr>
            </w:pPr>
            <w:r w:rsidRPr="00AE58B0">
              <w:rPr>
                <w:rStyle w:val="SpecialBold"/>
              </w:rPr>
              <w:t>Comments</w:t>
            </w:r>
          </w:p>
        </w:tc>
      </w:tr>
      <w:tr w:rsidTr="00AE58B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8B0">
            <w:pPr>
              <w:pStyle w:val="BodyText"/>
              <w:rPr>
                <w:lang w:val="en-NZ"/>
              </w:rPr>
            </w:pPr>
            <w:r w:rsidRPr="00AE58B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8B0" w:rsidP="00AE58B0">
            <w:pPr>
              <w:pStyle w:val="BodyText"/>
            </w:pPr>
            <w:r w:rsidRPr="00AE58B0">
              <w:t xml:space="preserve">This version was released in </w:t>
            </w:r>
            <w:r w:rsidRPr="00AE58B0">
              <w:rPr>
                <w:rStyle w:val="Emphasis"/>
              </w:rPr>
              <w:t>HLT Health Training Package release 2.0</w:t>
            </w:r>
            <w:r w:rsidRPr="00AE58B0">
              <w:t xml:space="preserve"> and meets the requirements of the 2012 Standards for Training Packages.</w:t>
            </w:r>
          </w:p>
          <w:p w:rsidR="00000000" w:rsidRPr="00AE58B0" w:rsidP="00AE58B0">
            <w:pPr>
              <w:pStyle w:val="BodyText"/>
            </w:pPr>
            <w:r w:rsidRPr="00AE58B0">
              <w:t>Significant changes to the elements and performance criteria. New evidence requirements for assessment, including volume and frequency requirements. Significant change to knowledge ev</w:t>
            </w:r>
            <w:r w:rsidRPr="00AE58B0">
              <w:t>idence.</w:t>
            </w:r>
          </w:p>
        </w:tc>
      </w:tr>
    </w:tbl>
    <w:p w:rsidR="00506691" w:rsidP="00AE58B0">
      <w:pPr>
        <w:pStyle w:val="BodyText"/>
      </w:pPr>
    </w:p>
    <w:p w:rsidR="00506691" w:rsidP="00AE58B0">
      <w:pPr>
        <w:pStyle w:val="BodyText"/>
      </w:pPr>
    </w:p>
    <w:p w:rsidR="00000000" w:rsidRPr="00AE58B0" w:rsidP="00AE58B0">
      <w:pPr>
        <w:pStyle w:val="Heading1"/>
      </w:pPr>
      <w:bookmarkStart w:id="2" w:name="O_855457"/>
      <w:bookmarkEnd w:id="2"/>
      <w:r w:rsidRPr="00AE58B0">
        <w:t>Performance Evidence</w:t>
      </w:r>
    </w:p>
    <w:p w:rsidR="00000000" w:rsidRPr="00AE58B0" w:rsidP="00506691">
      <w:pPr>
        <w:pStyle w:val="BodyText"/>
      </w:pPr>
      <w:r w:rsidRPr="00AE58B0">
        <w:t xml:space="preserve">The candidate must show evidence of the ability to complete tasks outlined in elements and performance criteria of this unit, manage tasks and manage contingencies in the context of the job role. There must </w:t>
      </w:r>
      <w:r w:rsidRPr="00AE58B0">
        <w:t>be evidence that the candidate has:</w:t>
      </w:r>
    </w:p>
    <w:p w:rsidR="00000000" w:rsidRPr="00AE58B0" w:rsidP="00AE58B0">
      <w:pPr>
        <w:pStyle w:val="ListBullet"/>
      </w:pPr>
      <w:r w:rsidRPr="00AE58B0">
        <w:t>planned, prepared and assisted during induction, maintenance and completion of anaesthesia for each of the following for at least two lists each:</w:t>
      </w:r>
    </w:p>
    <w:p w:rsidR="00000000" w:rsidRPr="00AE58B0" w:rsidP="00AE58B0">
      <w:pPr>
        <w:pStyle w:val="ListBullet2"/>
      </w:pPr>
      <w:r w:rsidRPr="00AE58B0">
        <w:t>general surgery/gastro-intestinal – major laparotomy &amp; minor surgery</w:t>
      </w:r>
    </w:p>
    <w:p w:rsidR="00000000" w:rsidRPr="00AE58B0" w:rsidP="00AE58B0">
      <w:pPr>
        <w:pStyle w:val="ListBullet2"/>
      </w:pPr>
      <w:r w:rsidRPr="00AE58B0">
        <w:t>ear, nose and throat surgery</w:t>
      </w:r>
    </w:p>
    <w:p w:rsidR="00000000" w:rsidRPr="00AE58B0" w:rsidP="00AE58B0">
      <w:pPr>
        <w:pStyle w:val="ListBullet2"/>
      </w:pPr>
      <w:r w:rsidRPr="00AE58B0">
        <w:t>gynaecological surgery - major &amp; minor</w:t>
      </w:r>
    </w:p>
    <w:p w:rsidR="00000000" w:rsidRPr="00AE58B0" w:rsidP="00AE58B0">
      <w:pPr>
        <w:pStyle w:val="ListBullet2"/>
      </w:pPr>
      <w:r w:rsidRPr="00AE58B0">
        <w:t>obstetric surgery</w:t>
      </w:r>
    </w:p>
    <w:p w:rsidR="00000000" w:rsidRPr="00AE58B0" w:rsidP="00AE58B0">
      <w:pPr>
        <w:pStyle w:val="ListBullet2"/>
      </w:pPr>
      <w:r w:rsidRPr="00AE58B0">
        <w:t>orthopaedic surgery - major &amp; minor</w:t>
      </w:r>
    </w:p>
    <w:p w:rsidR="00000000" w:rsidRPr="00AE58B0" w:rsidP="00AE58B0">
      <w:pPr>
        <w:pStyle w:val="ListBullet2"/>
      </w:pPr>
      <w:r w:rsidRPr="00AE58B0">
        <w:t>vascular surgery - major &amp; minor</w:t>
      </w:r>
    </w:p>
    <w:p w:rsidR="00000000" w:rsidRPr="00AE58B0" w:rsidP="00AE58B0">
      <w:pPr>
        <w:pStyle w:val="ListBullet2"/>
      </w:pPr>
      <w:r w:rsidRPr="00AE58B0">
        <w:t>urological surgery - major &amp; minor</w:t>
      </w:r>
    </w:p>
    <w:p w:rsidR="00000000" w:rsidRPr="00AE58B0" w:rsidP="00AE58B0">
      <w:pPr>
        <w:pStyle w:val="ListBullet2"/>
      </w:pPr>
      <w:r w:rsidRPr="00AE58B0">
        <w:t>ophthalmic surgery</w:t>
      </w:r>
    </w:p>
    <w:p w:rsidR="00000000" w:rsidRPr="00AE58B0" w:rsidP="00AE58B0">
      <w:pPr>
        <w:pStyle w:val="ListBullet2"/>
      </w:pPr>
      <w:r w:rsidRPr="00AE58B0">
        <w:t>paediatric – minor ear nose and throat (ENT), g</w:t>
      </w:r>
      <w:r w:rsidRPr="00AE58B0">
        <w:t>eneral &amp; orthopaedic</w:t>
      </w:r>
    </w:p>
    <w:p w:rsidR="00000000" w:rsidRPr="00AE58B0" w:rsidP="00AE58B0">
      <w:pPr>
        <w:pStyle w:val="ListBullet2"/>
      </w:pPr>
      <w:r w:rsidRPr="00AE58B0">
        <w:t xml:space="preserve">remote site anaesthesia – radiology, electroconvulsive therapy (ECT), endoscopy </w:t>
      </w:r>
    </w:p>
    <w:p w:rsidR="00000000" w:rsidRPr="00AE58B0" w:rsidP="00AE58B0">
      <w:pPr>
        <w:pStyle w:val="ListBullet"/>
      </w:pPr>
      <w:r w:rsidRPr="00AE58B0">
        <w:t xml:space="preserve">provided assistance with each of the following procedures on at least 3 occasions, ensuring use of aseptic technique: </w:t>
      </w:r>
    </w:p>
    <w:p w:rsidR="00000000" w:rsidRPr="00AE58B0" w:rsidP="00AE58B0">
      <w:pPr>
        <w:pStyle w:val="ListBullet2"/>
      </w:pPr>
      <w:r w:rsidRPr="00AE58B0">
        <w:t xml:space="preserve">spinal </w:t>
      </w:r>
    </w:p>
    <w:p w:rsidR="00000000" w:rsidRPr="00AE58B0" w:rsidP="00AE58B0">
      <w:pPr>
        <w:pStyle w:val="ListBullet2"/>
      </w:pPr>
      <w:r w:rsidRPr="00AE58B0">
        <w:t>arterial line</w:t>
      </w:r>
    </w:p>
    <w:p w:rsidR="00000000" w:rsidRPr="00AE58B0" w:rsidP="00AE58B0">
      <w:pPr>
        <w:pStyle w:val="ListBullet2"/>
      </w:pPr>
      <w:r w:rsidRPr="00AE58B0">
        <w:t>central ven</w:t>
      </w:r>
      <w:r w:rsidRPr="00AE58B0">
        <w:t>ous catheter</w:t>
      </w:r>
    </w:p>
    <w:p w:rsidR="00000000" w:rsidRPr="00AE58B0" w:rsidP="00AE58B0">
      <w:pPr>
        <w:pStyle w:val="ListBullet"/>
      </w:pPr>
      <w:r w:rsidRPr="00AE58B0">
        <w:t xml:space="preserve">provided assistance with each of the following procedures on at least 2 occasions, ensuring use of aseptic technique: </w:t>
      </w:r>
    </w:p>
    <w:p w:rsidR="00000000" w:rsidRPr="00AE58B0" w:rsidP="00AE58B0">
      <w:pPr>
        <w:pStyle w:val="ListBullet2"/>
      </w:pPr>
      <w:r w:rsidRPr="00AE58B0">
        <w:t xml:space="preserve">local </w:t>
      </w:r>
    </w:p>
    <w:p w:rsidR="00000000" w:rsidRPr="00AE58B0" w:rsidP="00AE58B0">
      <w:pPr>
        <w:pStyle w:val="ListBullet2"/>
      </w:pPr>
      <w:r w:rsidRPr="00AE58B0">
        <w:t>regional blocks including use of ultrasound</w:t>
      </w:r>
    </w:p>
    <w:p w:rsidR="00000000" w:rsidRPr="00AE58B0" w:rsidP="00AE58B0">
      <w:pPr>
        <w:pStyle w:val="ListBullet3"/>
      </w:pPr>
      <w:r w:rsidRPr="00AE58B0">
        <w:t xml:space="preserve">upper limb </w:t>
      </w:r>
    </w:p>
    <w:p w:rsidR="00000000" w:rsidRPr="00AE58B0" w:rsidP="00AE58B0">
      <w:pPr>
        <w:pStyle w:val="ListBullet3"/>
      </w:pPr>
      <w:r w:rsidRPr="00AE58B0">
        <w:t xml:space="preserve">lower limb </w:t>
      </w:r>
    </w:p>
    <w:p w:rsidR="00000000" w:rsidRPr="00AE58B0" w:rsidP="00AE58B0">
      <w:pPr>
        <w:pStyle w:val="ListBullet3"/>
      </w:pPr>
      <w:r w:rsidRPr="00AE58B0">
        <w:t xml:space="preserve">TAP block </w:t>
      </w:r>
    </w:p>
    <w:p w:rsidR="00000000" w:rsidRPr="00AE58B0" w:rsidP="00AE58B0">
      <w:pPr>
        <w:pStyle w:val="ListBullet2"/>
      </w:pPr>
      <w:r w:rsidRPr="00AE58B0">
        <w:t xml:space="preserve">epidural/combined spinal-epidural </w:t>
      </w:r>
    </w:p>
    <w:p w:rsidR="00000000" w:rsidRPr="00AE58B0" w:rsidP="00AE58B0">
      <w:pPr>
        <w:pStyle w:val="ListBullet2"/>
      </w:pPr>
      <w:r w:rsidRPr="00AE58B0">
        <w:t xml:space="preserve">caudal </w:t>
      </w:r>
    </w:p>
    <w:p w:rsidR="00000000" w:rsidRPr="00AE58B0" w:rsidP="00AE58B0">
      <w:pPr>
        <w:pStyle w:val="ListBullet2"/>
      </w:pPr>
      <w:r w:rsidRPr="00AE58B0">
        <w:t>peripherally inserted central catheter</w:t>
      </w:r>
    </w:p>
    <w:p w:rsidR="00000000" w:rsidRPr="00AE58B0" w:rsidP="00AE58B0">
      <w:pPr>
        <w:pStyle w:val="ListBullet2"/>
      </w:pPr>
      <w:r w:rsidRPr="00AE58B0">
        <w:t>midline catheter</w:t>
      </w:r>
      <w:r w:rsidRPr="00AE58B0">
        <w:rPr>
          <w:rStyle w:val="Monospace"/>
        </w:rPr>
        <w:t xml:space="preserve"> </w:t>
      </w:r>
    </w:p>
    <w:p w:rsidR="00000000" w:rsidRPr="00AE58B0" w:rsidP="00AE58B0">
      <w:pPr>
        <w:pStyle w:val="ListBullet2"/>
      </w:pPr>
      <w:r w:rsidRPr="00AE58B0">
        <w:t xml:space="preserve">transoesophageal echocardiograph (TOE) </w:t>
      </w:r>
    </w:p>
    <w:p w:rsidR="00000000" w:rsidRPr="00AE58B0" w:rsidP="00AE58B0">
      <w:pPr>
        <w:pStyle w:val="ListBullet2"/>
      </w:pPr>
      <w:r w:rsidRPr="00AE58B0">
        <w:t>blood patch</w:t>
      </w:r>
    </w:p>
    <w:p w:rsidR="00000000" w:rsidRPr="00AE58B0" w:rsidP="00AE58B0">
      <w:pPr>
        <w:pStyle w:val="ListBullet2"/>
      </w:pPr>
      <w:r w:rsidRPr="00AE58B0">
        <w:t xml:space="preserve">intercostal drainage </w:t>
      </w:r>
    </w:p>
    <w:p w:rsidR="00000000" w:rsidRPr="00AE58B0" w:rsidP="00AE58B0">
      <w:pPr>
        <w:pStyle w:val="ListBullet2"/>
      </w:pPr>
      <w:r w:rsidRPr="00AE58B0">
        <w:t xml:space="preserve">pain management procedures (e.g. chemical sympathectomy) </w:t>
      </w:r>
    </w:p>
    <w:p w:rsidR="00000000" w:rsidRPr="00AE58B0" w:rsidP="00AE58B0">
      <w:pPr>
        <w:pStyle w:val="ListBullet2"/>
      </w:pPr>
      <w:r w:rsidRPr="00AE58B0">
        <w:t xml:space="preserve">vascular </w:t>
      </w:r>
      <w:r>
        <w:t>‘</w:t>
      </w:r>
      <w:r w:rsidRPr="00AE58B0">
        <w:t>cut downs</w:t>
      </w:r>
      <w:r>
        <w:t>’</w:t>
      </w:r>
      <w:r w:rsidRPr="00AE58B0">
        <w:t xml:space="preserve"> </w:t>
      </w:r>
    </w:p>
    <w:p w:rsidR="00000000" w:rsidRPr="00AE58B0" w:rsidP="00AE58B0">
      <w:pPr>
        <w:pStyle w:val="ListBullet2"/>
      </w:pPr>
      <w:r w:rsidRPr="00AE58B0">
        <w:t xml:space="preserve">external pacing </w:t>
      </w:r>
    </w:p>
    <w:p w:rsidR="00000000" w:rsidRPr="00AE58B0" w:rsidP="00AE58B0">
      <w:pPr>
        <w:pStyle w:val="ListBullet2"/>
      </w:pPr>
      <w:r w:rsidRPr="00AE58B0">
        <w:t xml:space="preserve">pulmonary artery catheter </w:t>
      </w:r>
    </w:p>
    <w:p w:rsidR="00000000" w:rsidRPr="00AE58B0" w:rsidP="00AE58B0">
      <w:pPr>
        <w:pStyle w:val="ListBullet2"/>
      </w:pPr>
      <w:r w:rsidRPr="00AE58B0">
        <w:t xml:space="preserve">balloon pump </w:t>
      </w:r>
    </w:p>
    <w:p w:rsidR="00000000" w:rsidRPr="00AE58B0" w:rsidP="00AE58B0">
      <w:pPr>
        <w:pStyle w:val="ListBullet2"/>
      </w:pPr>
      <w:r w:rsidRPr="00AE58B0">
        <w:t xml:space="preserve">intracranial pressure monitoring </w:t>
      </w:r>
    </w:p>
    <w:p w:rsidR="00000000" w:rsidRPr="00AE58B0" w:rsidP="00AE58B0">
      <w:pPr>
        <w:pStyle w:val="ListBullet2"/>
      </w:pPr>
      <w:r w:rsidRPr="00AE58B0">
        <w:t>12 lead ECG</w:t>
      </w:r>
    </w:p>
    <w:p w:rsidR="00000000" w:rsidRPr="00AE58B0" w:rsidP="00AE58B0">
      <w:pPr>
        <w:pStyle w:val="ListBullet"/>
      </w:pPr>
      <w:r w:rsidRPr="00AE58B0">
        <w:t xml:space="preserve">monitored physiological parameters with reference to standard values of normal physiological function for each client’s usual parameters </w:t>
      </w:r>
    </w:p>
    <w:p w:rsidR="00000000" w:rsidRPr="00AE58B0" w:rsidP="00AE58B0">
      <w:pPr>
        <w:pStyle w:val="AllowPageBreak"/>
      </w:pPr>
    </w:p>
    <w:p w:rsidR="00000000" w:rsidRPr="00AE58B0" w:rsidP="00AE58B0">
      <w:pPr>
        <w:pStyle w:val="Heading1"/>
      </w:pPr>
      <w:bookmarkStart w:id="3" w:name="O_855456"/>
      <w:bookmarkEnd w:id="3"/>
      <w:r w:rsidRPr="00AE58B0">
        <w:t>Knowledge Evidence</w:t>
      </w:r>
    </w:p>
    <w:p w:rsidR="00000000" w:rsidRPr="00AE58B0" w:rsidP="00506691">
      <w:pPr>
        <w:pStyle w:val="BodyText"/>
      </w:pPr>
      <w:r w:rsidRPr="00AE58B0">
        <w:t xml:space="preserve">The candidate must be able to demonstrate essential knowledge required to effectively complete tasks outlined in elements and performance criteria of this unit, manage tasks and manage contingencies in the context of the work role. This </w:t>
      </w:r>
      <w:r w:rsidRPr="00AE58B0">
        <w:t>includes knowledge of:</w:t>
      </w:r>
    </w:p>
    <w:p w:rsidR="00000000" w:rsidRPr="00AE58B0" w:rsidP="00AE58B0">
      <w:pPr>
        <w:pStyle w:val="ListBullet"/>
      </w:pPr>
      <w:r w:rsidRPr="00AE58B0">
        <w:t>legal and ethical considerations (national, state/territory) for clinical procedures, and how these are applied in organisations:</w:t>
      </w:r>
    </w:p>
    <w:p w:rsidR="00000000" w:rsidRPr="00AE58B0" w:rsidP="00AE58B0">
      <w:pPr>
        <w:pStyle w:val="ListBullet2"/>
      </w:pPr>
      <w:r w:rsidRPr="00AE58B0">
        <w:t>codes of practice</w:t>
      </w:r>
    </w:p>
    <w:p w:rsidR="00000000" w:rsidRPr="00AE58B0" w:rsidP="00AE58B0">
      <w:pPr>
        <w:pStyle w:val="ListBullet2"/>
      </w:pPr>
      <w:r w:rsidRPr="00AE58B0">
        <w:t>duty of care</w:t>
      </w:r>
    </w:p>
    <w:p w:rsidR="00000000" w:rsidRPr="00AE58B0" w:rsidP="00AE58B0">
      <w:pPr>
        <w:pStyle w:val="ListBullet2"/>
      </w:pPr>
      <w:r w:rsidRPr="00AE58B0">
        <w:t xml:space="preserve">infection prevention and control </w:t>
      </w:r>
    </w:p>
    <w:p w:rsidR="00000000" w:rsidRPr="00AE58B0" w:rsidP="00AE58B0">
      <w:pPr>
        <w:pStyle w:val="ListBullet2"/>
      </w:pPr>
      <w:r w:rsidRPr="00AE58B0">
        <w:t xml:space="preserve">informed consent </w:t>
      </w:r>
    </w:p>
    <w:p w:rsidR="00000000" w:rsidRPr="00AE58B0" w:rsidP="00AE58B0">
      <w:pPr>
        <w:pStyle w:val="ListBullet2"/>
      </w:pPr>
      <w:r w:rsidRPr="00AE58B0">
        <w:t>mandatory reportin</w:t>
      </w:r>
      <w:r w:rsidRPr="00AE58B0">
        <w:t xml:space="preserve">g </w:t>
      </w:r>
    </w:p>
    <w:p w:rsidR="00000000" w:rsidRPr="00AE58B0" w:rsidP="00AE58B0">
      <w:pPr>
        <w:pStyle w:val="ListBullet2"/>
      </w:pPr>
      <w:r w:rsidRPr="00AE58B0">
        <w:t>privacy, confidentiality and disclosure</w:t>
      </w:r>
    </w:p>
    <w:p w:rsidR="00000000" w:rsidRPr="00AE58B0" w:rsidP="00AE58B0">
      <w:pPr>
        <w:pStyle w:val="ListBullet2"/>
      </w:pPr>
      <w:r w:rsidRPr="00AE58B0">
        <w:t>records management and clinical documentation</w:t>
      </w:r>
    </w:p>
    <w:p w:rsidR="00000000" w:rsidRPr="00AE58B0" w:rsidP="00AE58B0">
      <w:pPr>
        <w:pStyle w:val="ListBullet2"/>
      </w:pPr>
      <w:r w:rsidRPr="00AE58B0">
        <w:t>rights and responsibilities of workers, employers and clients</w:t>
      </w:r>
    </w:p>
    <w:p w:rsidR="00000000" w:rsidRPr="00AE58B0" w:rsidP="00AE58B0">
      <w:pPr>
        <w:pStyle w:val="ListBullet2"/>
      </w:pPr>
      <w:r w:rsidRPr="00AE58B0">
        <w:t>work role boundaries – responsibilities and limitations</w:t>
      </w:r>
    </w:p>
    <w:p w:rsidR="00000000" w:rsidRPr="00AE58B0" w:rsidP="00AE58B0">
      <w:pPr>
        <w:pStyle w:val="ListBullet2"/>
      </w:pPr>
      <w:r w:rsidRPr="00AE58B0">
        <w:t>work health and safety (WHS)</w:t>
      </w:r>
    </w:p>
    <w:p w:rsidR="00000000" w:rsidRPr="00AE58B0" w:rsidP="00AE58B0">
      <w:pPr>
        <w:pStyle w:val="ListBullet"/>
      </w:pPr>
      <w:r w:rsidRPr="00AE58B0">
        <w:t>types of regional a</w:t>
      </w:r>
      <w:r w:rsidRPr="00AE58B0">
        <w:t>nd invasive procedures, how they are performed, and the anaesthetic technician’s role, for the following:</w:t>
      </w:r>
    </w:p>
    <w:p w:rsidR="00000000" w:rsidRPr="00AE58B0" w:rsidP="00AE58B0">
      <w:pPr>
        <w:pStyle w:val="ListBullet2"/>
      </w:pPr>
      <w:r w:rsidRPr="00AE58B0">
        <w:t xml:space="preserve">spinal </w:t>
      </w:r>
    </w:p>
    <w:p w:rsidR="00000000" w:rsidRPr="00AE58B0" w:rsidP="00AE58B0">
      <w:pPr>
        <w:pStyle w:val="ListBullet2"/>
      </w:pPr>
      <w:r w:rsidRPr="00AE58B0">
        <w:t xml:space="preserve">epidural </w:t>
      </w:r>
    </w:p>
    <w:p w:rsidR="00000000" w:rsidRPr="00AE58B0" w:rsidP="00AE58B0">
      <w:pPr>
        <w:pStyle w:val="ListBullet2"/>
      </w:pPr>
      <w:r w:rsidRPr="00AE58B0">
        <w:t xml:space="preserve">combined spinal-epidural </w:t>
      </w:r>
    </w:p>
    <w:p w:rsidR="00000000" w:rsidRPr="00AE58B0" w:rsidP="00AE58B0">
      <w:pPr>
        <w:pStyle w:val="ListBullet2"/>
      </w:pPr>
      <w:r w:rsidRPr="00AE58B0">
        <w:t xml:space="preserve">caudal </w:t>
      </w:r>
    </w:p>
    <w:p w:rsidR="00000000" w:rsidRPr="00AE58B0" w:rsidP="00AE58B0">
      <w:pPr>
        <w:pStyle w:val="ListBullet2"/>
      </w:pPr>
      <w:r w:rsidRPr="00AE58B0">
        <w:t xml:space="preserve">local </w:t>
      </w:r>
    </w:p>
    <w:p w:rsidR="00000000" w:rsidRPr="00AE58B0" w:rsidP="00AE58B0">
      <w:pPr>
        <w:pStyle w:val="ListBullet2"/>
      </w:pPr>
      <w:r w:rsidRPr="00AE58B0">
        <w:t xml:space="preserve">regional blocks, including use of ultrasound </w:t>
      </w:r>
    </w:p>
    <w:p w:rsidR="00000000" w:rsidRPr="00AE58B0" w:rsidP="00AE58B0">
      <w:pPr>
        <w:pStyle w:val="ListBullet3"/>
      </w:pPr>
      <w:r w:rsidRPr="00AE58B0">
        <w:t xml:space="preserve">upper limb </w:t>
      </w:r>
    </w:p>
    <w:p w:rsidR="00000000" w:rsidRPr="00AE58B0" w:rsidP="00AE58B0">
      <w:pPr>
        <w:pStyle w:val="ListBullet3"/>
      </w:pPr>
      <w:r w:rsidRPr="00AE58B0">
        <w:t xml:space="preserve">lower limb </w:t>
      </w:r>
    </w:p>
    <w:p w:rsidR="00000000" w:rsidRPr="00AE58B0" w:rsidP="00AE58B0">
      <w:pPr>
        <w:pStyle w:val="ListBullet3"/>
      </w:pPr>
      <w:r w:rsidRPr="00AE58B0">
        <w:t xml:space="preserve">TAP block </w:t>
      </w:r>
    </w:p>
    <w:p w:rsidR="00000000" w:rsidRPr="00AE58B0" w:rsidP="00AE58B0">
      <w:pPr>
        <w:pStyle w:val="ListBullet2"/>
      </w:pPr>
      <w:r w:rsidRPr="00AE58B0">
        <w:t>blood patch</w:t>
      </w:r>
    </w:p>
    <w:p w:rsidR="00000000" w:rsidRPr="00AE58B0" w:rsidP="00AE58B0">
      <w:pPr>
        <w:pStyle w:val="ListBullet2"/>
      </w:pPr>
      <w:r w:rsidRPr="00AE58B0">
        <w:t>arterial line</w:t>
      </w:r>
    </w:p>
    <w:p w:rsidR="00000000" w:rsidRPr="00AE58B0" w:rsidP="00AE58B0">
      <w:pPr>
        <w:pStyle w:val="ListBullet2"/>
      </w:pPr>
      <w:r w:rsidRPr="00AE58B0">
        <w:t xml:space="preserve">central venous catheter </w:t>
      </w:r>
    </w:p>
    <w:p w:rsidR="00000000" w:rsidRPr="00AE58B0" w:rsidP="00AE58B0">
      <w:pPr>
        <w:pStyle w:val="ListBullet2"/>
      </w:pPr>
      <w:r w:rsidRPr="00AE58B0">
        <w:t xml:space="preserve">peripherally inserted central catheter (PICC) </w:t>
      </w:r>
    </w:p>
    <w:p w:rsidR="00000000" w:rsidRPr="00AE58B0" w:rsidP="00AE58B0">
      <w:pPr>
        <w:pStyle w:val="ListBullet2"/>
      </w:pPr>
      <w:r w:rsidRPr="00AE58B0">
        <w:t xml:space="preserve">midline catheter </w:t>
      </w:r>
    </w:p>
    <w:p w:rsidR="00000000" w:rsidRPr="00AE58B0" w:rsidP="00AE58B0">
      <w:pPr>
        <w:pStyle w:val="ListBullet2"/>
      </w:pPr>
      <w:r w:rsidRPr="00AE58B0">
        <w:t xml:space="preserve">transoesophageal echocardiograph (TOE) </w:t>
      </w:r>
    </w:p>
    <w:p w:rsidR="00000000" w:rsidRPr="00AE58B0" w:rsidP="00AE58B0">
      <w:pPr>
        <w:pStyle w:val="ListBullet2"/>
      </w:pPr>
      <w:r w:rsidRPr="00AE58B0">
        <w:t xml:space="preserve">intercostal drainage </w:t>
      </w:r>
    </w:p>
    <w:p w:rsidR="00000000" w:rsidRPr="00AE58B0" w:rsidP="00AE58B0">
      <w:pPr>
        <w:pStyle w:val="ListBullet2"/>
      </w:pPr>
      <w:r w:rsidRPr="00AE58B0">
        <w:t xml:space="preserve">pain management procedures </w:t>
      </w:r>
    </w:p>
    <w:p w:rsidR="00000000" w:rsidRPr="00AE58B0" w:rsidP="00AE58B0">
      <w:pPr>
        <w:pStyle w:val="ListBullet2"/>
      </w:pPr>
      <w:r w:rsidRPr="00AE58B0">
        <w:t xml:space="preserve">vascular </w:t>
      </w:r>
      <w:r>
        <w:t>‘</w:t>
      </w:r>
      <w:r w:rsidRPr="00AE58B0">
        <w:t>cut downs</w:t>
      </w:r>
      <w:r>
        <w:t>’</w:t>
      </w:r>
      <w:r w:rsidRPr="00AE58B0">
        <w:t xml:space="preserve"> </w:t>
      </w:r>
    </w:p>
    <w:p w:rsidR="00000000" w:rsidRPr="00AE58B0" w:rsidP="00AE58B0">
      <w:pPr>
        <w:pStyle w:val="ListBullet2"/>
      </w:pPr>
      <w:r w:rsidRPr="00AE58B0">
        <w:t xml:space="preserve">external pacing </w:t>
      </w:r>
    </w:p>
    <w:p w:rsidR="00000000" w:rsidRPr="00AE58B0" w:rsidP="00AE58B0">
      <w:pPr>
        <w:pStyle w:val="ListBullet2"/>
      </w:pPr>
      <w:r w:rsidRPr="00AE58B0">
        <w:t>pulmonary a</w:t>
      </w:r>
      <w:r w:rsidRPr="00AE58B0">
        <w:t xml:space="preserve">rtery catheter </w:t>
      </w:r>
    </w:p>
    <w:p w:rsidR="00000000" w:rsidRPr="00AE58B0" w:rsidP="00AE58B0">
      <w:pPr>
        <w:pStyle w:val="ListBullet2"/>
      </w:pPr>
      <w:r w:rsidRPr="00AE58B0">
        <w:t>balloon pump</w:t>
      </w:r>
    </w:p>
    <w:p w:rsidR="00000000" w:rsidRPr="00AE58B0" w:rsidP="00AE58B0">
      <w:pPr>
        <w:pStyle w:val="ListBullet2"/>
      </w:pPr>
      <w:r w:rsidRPr="00AE58B0">
        <w:t xml:space="preserve">intracranial pressure monitoring </w:t>
      </w:r>
    </w:p>
    <w:p w:rsidR="00000000" w:rsidRPr="00AE58B0" w:rsidP="00AE58B0">
      <w:pPr>
        <w:pStyle w:val="ListBullet2"/>
      </w:pPr>
      <w:r w:rsidRPr="00AE58B0">
        <w:t xml:space="preserve">cell salvage/autotransfusion </w:t>
      </w:r>
    </w:p>
    <w:p w:rsidR="00000000" w:rsidRPr="00AE58B0" w:rsidP="00AE58B0">
      <w:pPr>
        <w:pStyle w:val="ListBullet2"/>
      </w:pPr>
      <w:r w:rsidRPr="00AE58B0">
        <w:t>12 lead ECG</w:t>
      </w:r>
    </w:p>
    <w:p w:rsidR="00000000" w:rsidRPr="00AE58B0" w:rsidP="00AE58B0">
      <w:pPr>
        <w:pStyle w:val="ListBullet2"/>
      </w:pPr>
      <w:r w:rsidRPr="00AE58B0">
        <w:t xml:space="preserve">spinal cord monitoring </w:t>
      </w:r>
    </w:p>
    <w:p w:rsidR="00000000" w:rsidRPr="00AE58B0" w:rsidP="00AE58B0">
      <w:pPr>
        <w:pStyle w:val="ListBullet"/>
      </w:pPr>
      <w:r w:rsidRPr="00AE58B0">
        <w:t xml:space="preserve">types of equipment used for regional and invasive procedures, including function and operating </w:t>
      </w:r>
      <w:r w:rsidRPr="00AE58B0">
        <w:t xml:space="preserve">guidelines, use, indications and limitations, and criteria for withdrawal </w:t>
      </w:r>
    </w:p>
    <w:p w:rsidR="00000000" w:rsidRPr="00AE58B0" w:rsidP="00AE58B0">
      <w:pPr>
        <w:pStyle w:val="ListBullet"/>
      </w:pPr>
      <w:r w:rsidRPr="00AE58B0">
        <w:t>monitoring of and maintenance of stock levels perioperatively, including CO2 absorber, medications, fluids, consumables</w:t>
      </w:r>
    </w:p>
    <w:p w:rsidR="00000000" w:rsidRPr="00AE58B0" w:rsidP="00AE58B0">
      <w:pPr>
        <w:pStyle w:val="ListBullet"/>
      </w:pPr>
      <w:r w:rsidRPr="00AE58B0">
        <w:t>anatomy, physiology factors that impact regional and invasive</w:t>
      </w:r>
      <w:r w:rsidRPr="00AE58B0">
        <w:t xml:space="preserve"> procedures for different client groups</w:t>
      </w:r>
    </w:p>
    <w:p w:rsidR="00000000" w:rsidRPr="00AE58B0" w:rsidP="00AE58B0">
      <w:pPr>
        <w:pStyle w:val="ListBullet"/>
      </w:pPr>
      <w:r w:rsidRPr="00AE58B0">
        <w:t xml:space="preserve">pre-medications and their effects </w:t>
      </w:r>
    </w:p>
    <w:p w:rsidR="00000000" w:rsidRPr="00AE58B0" w:rsidP="00AE58B0">
      <w:pPr>
        <w:pStyle w:val="ListBullet"/>
      </w:pPr>
      <w:r>
        <w:t>•</w:t>
      </w:r>
      <w:r>
        <w:tab/>
      </w:r>
      <w:r w:rsidRPr="00AE58B0">
        <w:t xml:space="preserve">types of surgery – emergency/urgent/elective/day case </w:t>
      </w:r>
    </w:p>
    <w:p w:rsidR="00000000" w:rsidRPr="00AE58B0" w:rsidP="00AE58B0">
      <w:pPr>
        <w:pStyle w:val="ListBullet"/>
      </w:pPr>
      <w:r w:rsidRPr="00AE58B0">
        <w:t>types of common surgical procedures, their classification and factors for planning, preparation and management of anaesthesia</w:t>
      </w:r>
      <w:r w:rsidRPr="00AE58B0">
        <w:t>, including:</w:t>
      </w:r>
    </w:p>
    <w:p w:rsidR="00000000" w:rsidRPr="00AE58B0" w:rsidP="00AE58B0">
      <w:pPr>
        <w:pStyle w:val="ListBullet2"/>
      </w:pPr>
      <w:r w:rsidRPr="00AE58B0">
        <w:t>general surgery/gastro-intestinal – major laparotomy &amp; minor</w:t>
      </w:r>
    </w:p>
    <w:p w:rsidR="00000000" w:rsidRPr="00AE58B0" w:rsidP="00AE58B0">
      <w:pPr>
        <w:pStyle w:val="ListBullet2"/>
      </w:pPr>
      <w:r w:rsidRPr="00AE58B0">
        <w:t>ear, nose and throat surgery</w:t>
      </w:r>
    </w:p>
    <w:p w:rsidR="00000000" w:rsidRPr="00AE58B0" w:rsidP="00AE58B0">
      <w:pPr>
        <w:pStyle w:val="ListBullet2"/>
      </w:pPr>
      <w:r w:rsidRPr="00AE58B0">
        <w:t>gynaecological surgery - major &amp; minor</w:t>
      </w:r>
    </w:p>
    <w:p w:rsidR="00000000" w:rsidRPr="00AE58B0" w:rsidP="00AE58B0">
      <w:pPr>
        <w:pStyle w:val="ListBullet2"/>
      </w:pPr>
      <w:r w:rsidRPr="00AE58B0">
        <w:t>obstetric surgery</w:t>
      </w:r>
    </w:p>
    <w:p w:rsidR="00000000" w:rsidRPr="00AE58B0" w:rsidP="00AE58B0">
      <w:pPr>
        <w:pStyle w:val="ListBullet2"/>
      </w:pPr>
      <w:r w:rsidRPr="00AE58B0">
        <w:t>orthopaedic surgery - major &amp; minor</w:t>
      </w:r>
    </w:p>
    <w:p w:rsidR="00000000" w:rsidRPr="00AE58B0" w:rsidP="00AE58B0">
      <w:pPr>
        <w:pStyle w:val="ListBullet2"/>
      </w:pPr>
      <w:r w:rsidRPr="00AE58B0">
        <w:t>vascular surgery - major &amp; minor</w:t>
      </w:r>
    </w:p>
    <w:p w:rsidR="00000000" w:rsidRPr="00AE58B0" w:rsidP="00AE58B0">
      <w:pPr>
        <w:pStyle w:val="ListBullet2"/>
      </w:pPr>
      <w:r w:rsidRPr="00AE58B0">
        <w:t>urological surgery - major &amp; minor</w:t>
      </w:r>
    </w:p>
    <w:p w:rsidR="00000000" w:rsidRPr="00AE58B0" w:rsidP="00AE58B0">
      <w:pPr>
        <w:pStyle w:val="ListBullet2"/>
      </w:pPr>
      <w:r w:rsidRPr="00AE58B0">
        <w:t>ophthalmic surgery</w:t>
      </w:r>
    </w:p>
    <w:p w:rsidR="00000000" w:rsidRPr="00AE58B0" w:rsidP="00AE58B0">
      <w:pPr>
        <w:pStyle w:val="ListBullet2"/>
      </w:pPr>
      <w:r w:rsidRPr="00AE58B0">
        <w:t>paediatric – minor ENT, general &amp; orthopaedic</w:t>
      </w:r>
    </w:p>
    <w:p w:rsidR="00000000" w:rsidRPr="00AE58B0" w:rsidP="00AE58B0">
      <w:pPr>
        <w:pStyle w:val="ListBullet2"/>
      </w:pPr>
      <w:r w:rsidRPr="00AE58B0">
        <w:t>dental/faciomaxillary surgery</w:t>
      </w:r>
    </w:p>
    <w:p w:rsidR="00000000" w:rsidRPr="00AE58B0" w:rsidP="00AE58B0">
      <w:pPr>
        <w:pStyle w:val="ListBullet2"/>
      </w:pPr>
      <w:r w:rsidRPr="00AE58B0">
        <w:t>cardiothoracic Surgery</w:t>
      </w:r>
    </w:p>
    <w:p w:rsidR="00000000" w:rsidRPr="00AE58B0" w:rsidP="00AE58B0">
      <w:pPr>
        <w:pStyle w:val="ListBullet2"/>
      </w:pPr>
      <w:r w:rsidRPr="00AE58B0">
        <w:t>neurosurgery</w:t>
      </w:r>
    </w:p>
    <w:p w:rsidR="00000000" w:rsidRPr="00AE58B0" w:rsidP="00AE58B0">
      <w:pPr>
        <w:pStyle w:val="ListBullet2"/>
      </w:pPr>
      <w:r w:rsidRPr="00AE58B0">
        <w:t xml:space="preserve">plastic/Reconstructive Surgery </w:t>
      </w:r>
    </w:p>
    <w:p w:rsidR="00000000" w:rsidRPr="00AE58B0" w:rsidP="00AE58B0">
      <w:pPr>
        <w:pStyle w:val="ListBullet2"/>
      </w:pPr>
      <w:r w:rsidRPr="00AE58B0">
        <w:t>trauma/emergency surgery</w:t>
      </w:r>
    </w:p>
    <w:p w:rsidR="00000000" w:rsidRPr="00AE58B0" w:rsidP="00AE58B0">
      <w:pPr>
        <w:pStyle w:val="ListBullet2"/>
      </w:pPr>
      <w:r w:rsidRPr="00AE58B0">
        <w:t>remote site anaesthesia - radiolo</w:t>
      </w:r>
      <w:r w:rsidRPr="00AE58B0">
        <w:t>gy, ECT/endoscopy</w:t>
      </w:r>
    </w:p>
    <w:p w:rsidR="00000000" w:rsidRPr="00AE58B0" w:rsidP="00AE58B0">
      <w:pPr>
        <w:pStyle w:val="ListBullet"/>
      </w:pPr>
      <w:r w:rsidRPr="00AE58B0">
        <w:t xml:space="preserve">indications for surgery and risk factors </w:t>
      </w:r>
    </w:p>
    <w:p w:rsidR="00000000" w:rsidRPr="00AE58B0" w:rsidP="00AE58B0">
      <w:pPr>
        <w:pStyle w:val="ListBullet"/>
      </w:pPr>
      <w:r w:rsidRPr="00AE58B0">
        <w:t>surgical approaches and duration of surgery</w:t>
      </w:r>
    </w:p>
    <w:p w:rsidR="00000000" w:rsidRPr="00AE58B0" w:rsidP="00AE58B0">
      <w:pPr>
        <w:pStyle w:val="ListBullet"/>
      </w:pPr>
      <w:r w:rsidRPr="00AE58B0">
        <w:t>position of clients for surgery</w:t>
      </w:r>
    </w:p>
    <w:p w:rsidR="00000000" w:rsidRPr="00AE58B0" w:rsidP="00AE58B0">
      <w:pPr>
        <w:pStyle w:val="ListBullet"/>
      </w:pPr>
      <w:r w:rsidRPr="00AE58B0">
        <w:t>common anaesthetic and surgical complications</w:t>
      </w:r>
    </w:p>
    <w:p w:rsidR="00000000" w:rsidRPr="00AE58B0" w:rsidP="00AE58B0">
      <w:pPr>
        <w:pStyle w:val="ListBullet"/>
      </w:pPr>
      <w:r w:rsidRPr="00AE58B0">
        <w:t>risk of anaesthetic technique for surgical procedure</w:t>
      </w:r>
    </w:p>
    <w:p w:rsidR="00000000" w:rsidRPr="00AE58B0" w:rsidP="00AE58B0">
      <w:pPr>
        <w:pStyle w:val="ListBullet"/>
      </w:pPr>
      <w:r w:rsidRPr="00AE58B0">
        <w:t xml:space="preserve">specialty medications required perioperatively </w:t>
      </w:r>
    </w:p>
    <w:p w:rsidR="00000000" w:rsidRPr="00AE58B0" w:rsidP="00AE58B0">
      <w:pPr>
        <w:pStyle w:val="ListBullet"/>
      </w:pPr>
      <w:r w:rsidRPr="00AE58B0">
        <w:t>expected blood loss for different types of surgery</w:t>
      </w:r>
    </w:p>
    <w:p w:rsidR="00000000" w:rsidRPr="00AE58B0" w:rsidP="00AE58B0">
      <w:pPr>
        <w:pStyle w:val="ListBullet"/>
      </w:pPr>
      <w:r w:rsidRPr="00AE58B0">
        <w:t>events during surgery that could affect anaesthesia, including:</w:t>
      </w:r>
    </w:p>
    <w:p w:rsidR="00000000" w:rsidRPr="00AE58B0" w:rsidP="00AE58B0">
      <w:pPr>
        <w:pStyle w:val="ListBullet2"/>
      </w:pPr>
      <w:r w:rsidRPr="00AE58B0">
        <w:t>massive blood loss</w:t>
      </w:r>
    </w:p>
    <w:p w:rsidR="00000000" w:rsidRPr="00AE58B0" w:rsidP="00AE58B0">
      <w:pPr>
        <w:pStyle w:val="ListBullet2"/>
      </w:pPr>
      <w:r w:rsidRPr="00AE58B0">
        <w:t>client repositioning</w:t>
      </w:r>
    </w:p>
    <w:p w:rsidR="00000000" w:rsidRPr="00AE58B0" w:rsidP="00AE58B0">
      <w:pPr>
        <w:pStyle w:val="ListBullet2"/>
      </w:pPr>
      <w:r w:rsidRPr="00AE58B0">
        <w:t>cross clamping and unclamping of aorta and other maj</w:t>
      </w:r>
      <w:r w:rsidRPr="00AE58B0">
        <w:t>or blood vessels</w:t>
      </w:r>
    </w:p>
    <w:p w:rsidR="00000000" w:rsidRPr="00AE58B0" w:rsidP="00AE58B0">
      <w:pPr>
        <w:pStyle w:val="ListBullet2"/>
      </w:pPr>
      <w:r w:rsidRPr="00AE58B0">
        <w:t>orthopaedic bone cement syndrome</w:t>
      </w:r>
    </w:p>
    <w:p w:rsidR="00000000" w:rsidRPr="00AE58B0" w:rsidP="00AE58B0">
      <w:pPr>
        <w:pStyle w:val="ListBullet2"/>
      </w:pPr>
      <w:r w:rsidRPr="00AE58B0">
        <w:t>transurethral resection of the prostate (TURP) syndrome</w:t>
      </w:r>
    </w:p>
    <w:p w:rsidR="00000000" w:rsidRPr="00AE58B0" w:rsidP="00AE58B0">
      <w:pPr>
        <w:pStyle w:val="ListBullet2"/>
      </w:pPr>
      <w:r w:rsidRPr="00AE58B0">
        <w:t>application/release of tourniquet</w:t>
      </w:r>
    </w:p>
    <w:p w:rsidR="00000000" w:rsidRPr="00AE58B0" w:rsidP="00AE58B0">
      <w:pPr>
        <w:pStyle w:val="ListBullet2"/>
      </w:pPr>
      <w:r w:rsidRPr="00AE58B0">
        <w:t>tourniquet time</w:t>
      </w:r>
    </w:p>
    <w:p w:rsidR="00000000" w:rsidRPr="00AE58B0" w:rsidP="00AE58B0">
      <w:pPr>
        <w:pStyle w:val="ListBullet2"/>
      </w:pPr>
      <w:r w:rsidRPr="00AE58B0">
        <w:t>abdominal carbon dioxide insufflation</w:t>
      </w:r>
    </w:p>
    <w:p w:rsidR="00000000" w:rsidRPr="00AE58B0" w:rsidP="00AE58B0">
      <w:pPr>
        <w:pStyle w:val="ListBullet"/>
      </w:pPr>
      <w:r w:rsidRPr="00AE58B0">
        <w:t>co-existing diseases and their perioperative medical manageme</w:t>
      </w:r>
      <w:r w:rsidRPr="00AE58B0">
        <w:t>nt</w:t>
      </w:r>
    </w:p>
    <w:p w:rsidR="00000000" w:rsidRPr="00AE58B0" w:rsidP="00AE58B0">
      <w:pPr>
        <w:pStyle w:val="ListBullet"/>
      </w:pPr>
      <w:r w:rsidRPr="00AE58B0">
        <w:t>age of the client and associated risks</w:t>
      </w:r>
    </w:p>
    <w:p w:rsidR="00000000" w:rsidRPr="00AE58B0" w:rsidP="00AE58B0">
      <w:pPr>
        <w:pStyle w:val="ListBullet"/>
      </w:pPr>
      <w:r w:rsidRPr="00AE58B0">
        <w:t>types of anaesthetic techniques and preference card systems</w:t>
      </w:r>
    </w:p>
    <w:p w:rsidR="00000000" w:rsidRPr="00AE58B0" w:rsidP="00AE58B0">
      <w:pPr>
        <w:pStyle w:val="ListBullet"/>
      </w:pPr>
      <w:r w:rsidRPr="00AE58B0">
        <w:t>intraoperative procedures, including:</w:t>
      </w:r>
    </w:p>
    <w:p w:rsidR="00000000" w:rsidRPr="00AE58B0" w:rsidP="00AE58B0">
      <w:pPr>
        <w:pStyle w:val="ListBullet2"/>
      </w:pPr>
      <w:r w:rsidRPr="00AE58B0">
        <w:t>nasogastric tube placement and suctioning</w:t>
      </w:r>
    </w:p>
    <w:p w:rsidR="00000000" w:rsidRPr="00AE58B0" w:rsidP="00AE58B0">
      <w:pPr>
        <w:pStyle w:val="ListBullet2"/>
      </w:pPr>
      <w:r w:rsidRPr="00AE58B0">
        <w:t>endotracheal tube suctioning</w:t>
      </w:r>
    </w:p>
    <w:p w:rsidR="00000000" w:rsidRPr="00AE58B0" w:rsidP="00AE58B0">
      <w:pPr>
        <w:pStyle w:val="ListBullet2"/>
      </w:pPr>
      <w:r w:rsidRPr="00AE58B0">
        <w:t>tracheostomy toileting</w:t>
      </w:r>
    </w:p>
    <w:p w:rsidR="00000000" w:rsidRPr="00AE58B0" w:rsidP="00AE58B0">
      <w:pPr>
        <w:pStyle w:val="ListBullet2"/>
      </w:pPr>
      <w:r w:rsidRPr="00AE58B0">
        <w:t>rapid infusion, blood transfusion &amp; massive transfusion protocol</w:t>
      </w:r>
    </w:p>
    <w:p w:rsidR="00000000" w:rsidRPr="00AE58B0" w:rsidP="00AE58B0">
      <w:pPr>
        <w:pStyle w:val="ListBullet2"/>
      </w:pPr>
      <w:r w:rsidRPr="00AE58B0">
        <w:t>fluid balance-urine, gastric, blood loss &amp; infusion</w:t>
      </w:r>
    </w:p>
    <w:p w:rsidR="00000000" w:rsidRPr="00AE58B0" w:rsidP="00AE58B0">
      <w:pPr>
        <w:pStyle w:val="ListBullet2"/>
      </w:pPr>
      <w:r w:rsidRPr="00AE58B0">
        <w:t>invasive/non-invasive clinical measurements</w:t>
      </w:r>
    </w:p>
    <w:p w:rsidR="00000000" w:rsidRPr="00AE58B0" w:rsidP="00AE58B0">
      <w:pPr>
        <w:pStyle w:val="ListBullet2"/>
      </w:pPr>
      <w:r w:rsidRPr="00AE58B0">
        <w:t>airway exchange</w:t>
      </w:r>
    </w:p>
    <w:p w:rsidR="00000000" w:rsidRPr="00AE58B0" w:rsidP="00AE58B0">
      <w:pPr>
        <w:pStyle w:val="ListBullet2"/>
      </w:pPr>
      <w:r w:rsidRPr="00AE58B0">
        <w:t>pain management techniques</w:t>
      </w:r>
    </w:p>
    <w:p w:rsidR="00000000" w:rsidRPr="00AE58B0" w:rsidP="00AE58B0">
      <w:pPr>
        <w:pStyle w:val="ListBullet2"/>
      </w:pPr>
      <w:r w:rsidRPr="00AE58B0">
        <w:t xml:space="preserve">invasive/non-invasive clinical measurement planning </w:t>
      </w:r>
      <w:r w:rsidRPr="00AE58B0">
        <w:t>options</w:t>
      </w:r>
    </w:p>
    <w:p w:rsidR="00000000" w:rsidRPr="00AE58B0" w:rsidP="00AE58B0">
      <w:pPr>
        <w:pStyle w:val="ListBullet2"/>
      </w:pPr>
      <w:r w:rsidRPr="00AE58B0">
        <w:t>airway management planning options</w:t>
      </w:r>
    </w:p>
    <w:p w:rsidR="00000000" w:rsidRPr="00AE58B0" w:rsidP="00AE58B0">
      <w:pPr>
        <w:pStyle w:val="ListBullet"/>
      </w:pPr>
      <w:r w:rsidRPr="00AE58B0">
        <w:t>ancillary equipment choices</w:t>
      </w:r>
    </w:p>
    <w:p w:rsidR="00000000" w:rsidRPr="00AE58B0" w:rsidP="00AE58B0">
      <w:pPr>
        <w:pStyle w:val="ListBullet"/>
      </w:pPr>
      <w:r w:rsidRPr="00AE58B0">
        <w:t>pressure and nerve care</w:t>
      </w:r>
    </w:p>
    <w:p w:rsidR="00000000" w:rsidRPr="00AE58B0" w:rsidP="00AE58B0">
      <w:pPr>
        <w:pStyle w:val="ListBullet"/>
      </w:pPr>
      <w:r w:rsidRPr="00AE58B0">
        <w:t>normal range of motion for client</w:t>
      </w:r>
    </w:p>
    <w:p w:rsidR="00000000" w:rsidRPr="00AE58B0" w:rsidP="00AE58B0">
      <w:pPr>
        <w:pStyle w:val="ListBullet"/>
      </w:pPr>
      <w:r w:rsidRPr="00AE58B0">
        <w:t>thermal management</w:t>
      </w:r>
    </w:p>
    <w:p w:rsidR="00000000" w:rsidRPr="00AE58B0" w:rsidP="00AE58B0">
      <w:pPr>
        <w:pStyle w:val="ListBullet"/>
      </w:pPr>
      <w:r w:rsidRPr="00AE58B0">
        <w:t>prevention of thromboembolism</w:t>
      </w:r>
    </w:p>
    <w:p w:rsidR="00000000" w:rsidRPr="00AE58B0" w:rsidP="00AE58B0">
      <w:pPr>
        <w:pStyle w:val="ListBullet"/>
      </w:pPr>
      <w:r w:rsidRPr="00AE58B0">
        <w:t>patient emotional and physiological responses to surgery</w:t>
      </w:r>
    </w:p>
    <w:p w:rsidR="00000000" w:rsidRPr="00AE58B0" w:rsidP="00AE58B0">
      <w:pPr>
        <w:pStyle w:val="ListBullet"/>
      </w:pPr>
      <w:r w:rsidRPr="00AE58B0">
        <w:t>procedures for transfer of anaesthetised patient to intensive care or radiology and equipment used</w:t>
      </w:r>
    </w:p>
    <w:p w:rsidR="00000000" w:rsidRPr="00AE58B0" w:rsidP="00AE58B0">
      <w:pPr>
        <w:pStyle w:val="ListBullet"/>
      </w:pPr>
      <w:r w:rsidRPr="00AE58B0">
        <w:t>communication techniques within multidisciplinary team in operating theatre environment</w:t>
      </w:r>
    </w:p>
    <w:p w:rsidR="00000000" w:rsidRPr="00AE58B0" w:rsidP="00AE58B0">
      <w:pPr>
        <w:pStyle w:val="AllowPageBreak"/>
      </w:pPr>
    </w:p>
    <w:p w:rsidR="00000000" w:rsidRPr="00AE58B0" w:rsidP="00AE58B0">
      <w:pPr>
        <w:pStyle w:val="Heading1"/>
      </w:pPr>
      <w:bookmarkStart w:id="4" w:name="O_855455"/>
      <w:bookmarkEnd w:id="4"/>
      <w:r w:rsidRPr="00AE58B0">
        <w:t>Assessment Conditions</w:t>
      </w:r>
    </w:p>
    <w:p w:rsidR="00000000" w:rsidRPr="00AE58B0" w:rsidP="00506691">
      <w:pPr>
        <w:pStyle w:val="BodyText"/>
      </w:pPr>
      <w:r w:rsidRPr="00AE58B0">
        <w:t>Skills must have been demonstr</w:t>
      </w:r>
      <w:r w:rsidRPr="00AE58B0">
        <w:t xml:space="preserve">ated in the workplace with the addition of simulations and scenarios where the full range of contexts and situations have not been provided in the workplace. The following conditions must be met for this unit: </w:t>
      </w:r>
    </w:p>
    <w:p w:rsidR="00000000" w:rsidRPr="00AE58B0" w:rsidP="00AE58B0">
      <w:pPr>
        <w:pStyle w:val="ListBullet"/>
      </w:pPr>
      <w:r w:rsidRPr="00AE58B0">
        <w:t>use of suitable facilities, equipment and re</w:t>
      </w:r>
      <w:r w:rsidRPr="00AE58B0">
        <w:t>sources, including those required by procedures nominated in the Performance Evidence</w:t>
      </w:r>
    </w:p>
    <w:p w:rsidR="00000000" w:rsidRPr="00AE58B0" w:rsidP="00AE58B0">
      <w:pPr>
        <w:pStyle w:val="ListBullet"/>
      </w:pPr>
      <w:r w:rsidRPr="00AE58B0">
        <w:t>modelling of industry operating conditions, including presence of situations requiring problem solving in non-routine situations</w:t>
      </w:r>
    </w:p>
    <w:p w:rsidR="00000000" w:rsidRPr="00AE58B0" w:rsidP="00AE58B0">
      <w:pPr>
        <w:pStyle w:val="BodyText"/>
      </w:pPr>
    </w:p>
    <w:p w:rsidR="00000000" w:rsidRPr="00AE58B0" w:rsidP="00506691">
      <w:pPr>
        <w:pStyle w:val="BodyText"/>
      </w:pPr>
      <w:r w:rsidRPr="00AE58B0">
        <w:t>Assessors must satisfy the Standards for</w:t>
      </w:r>
      <w:r w:rsidRPr="00AE58B0">
        <w:t xml:space="preserve"> Registered Training Organisations (RTOs) 2015/AQTF mandatory competency requirements for assessors.</w:t>
      </w:r>
    </w:p>
    <w:p w:rsidR="00000000" w:rsidRPr="00AE58B0" w:rsidP="00AE58B0">
      <w:pPr>
        <w:pStyle w:val="Heading1"/>
      </w:pPr>
      <w:bookmarkStart w:id="5" w:name="O_855466"/>
      <w:bookmarkEnd w:id="5"/>
      <w:r w:rsidRPr="00AE58B0">
        <w:t>Links</w:t>
      </w:r>
    </w:p>
    <w:p w:rsidR="00000000" w:rsidRPr="00AE58B0" w:rsidP="00506691">
      <w:pPr>
        <w:pStyle w:val="BodyText"/>
      </w:pPr>
      <w:r w:rsidRPr="00AE58B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56988">
        <w:rPr>
          <w:rStyle w:val="Hyperlink"/>
        </w:rPr>
        <w:t>https://vetnet.gov.au/Pages/TrainingDocs.aspx?q=ced1390f-48d9-4ab0-bd50-b015e5485705</w:t>
      </w:r>
      <w:r>
        <w:fldChar w:fldCharType="end"/>
      </w:r>
    </w:p>
    <w:p w:rsidR="00000000" w:rsidRPr="00AE58B0" w:rsidP="00AE58B0"/>
    <w:sectPr w:rsidSect="00AE58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8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8B0" w:rsidRPr="00506691" w:rsidP="005066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8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691" w:rsidP="00AE58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6691" w:rsidP="00AE58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06691" w:rsidP="00AE58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8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6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58B0" w:rsidRPr="00506691" w:rsidP="005066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8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691" w:rsidRPr="002D2AF8" w:rsidP="00AE58B0">
    <w:pPr>
      <w:pStyle w:val="Header"/>
      <w:framePr w:wrap="around"/>
    </w:pPr>
    <w:r>
      <w:fldChar w:fldCharType="begin"/>
    </w:r>
    <w:r>
      <w:instrText xml:space="preserve"> TITLE   \* MERGEFORMAT </w:instrText>
    </w:r>
    <w:r>
      <w:fldChar w:fldCharType="separate"/>
    </w:r>
    <w:r>
      <w:t>Assessment Requirements for HLTANA006 Assist with clinical procedures used in anaesthesia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506691" w:rsidP="00AE58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307D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3C53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D6EA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8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58B0"/>
    <w:pPr>
      <w:spacing w:before="360" w:after="60"/>
      <w:outlineLvl w:val="0"/>
    </w:pPr>
    <w:rPr>
      <w:sz w:val="32"/>
    </w:rPr>
  </w:style>
  <w:style w:type="paragraph" w:styleId="Heading2">
    <w:name w:val="heading 2"/>
    <w:basedOn w:val="HeadingBase"/>
    <w:next w:val="BodyText"/>
    <w:link w:val="Heading2Char"/>
    <w:qFormat/>
    <w:rsid w:val="00AE58B0"/>
    <w:pPr>
      <w:keepLines/>
      <w:spacing w:before="240" w:after="120"/>
      <w:outlineLvl w:val="1"/>
    </w:pPr>
    <w:rPr>
      <w:sz w:val="28"/>
      <w:szCs w:val="40"/>
    </w:rPr>
  </w:style>
  <w:style w:type="paragraph" w:styleId="Heading3">
    <w:name w:val="heading 3"/>
    <w:basedOn w:val="HeadingBase"/>
    <w:next w:val="BodyText"/>
    <w:link w:val="Heading3Char"/>
    <w:qFormat/>
    <w:rsid w:val="00AE58B0"/>
    <w:pPr>
      <w:spacing w:before="180" w:after="120"/>
      <w:outlineLvl w:val="2"/>
    </w:pPr>
    <w:rPr>
      <w:spacing w:val="-10"/>
      <w:kern w:val="32"/>
    </w:rPr>
  </w:style>
  <w:style w:type="paragraph" w:styleId="Heading4">
    <w:name w:val="heading 4"/>
    <w:basedOn w:val="HeadingBase"/>
    <w:next w:val="BodyText"/>
    <w:link w:val="Heading4Char"/>
    <w:qFormat/>
    <w:rsid w:val="00AE58B0"/>
    <w:pPr>
      <w:spacing w:before="160" w:after="120"/>
      <w:outlineLvl w:val="3"/>
    </w:pPr>
    <w:rPr>
      <w:sz w:val="22"/>
    </w:rPr>
  </w:style>
  <w:style w:type="paragraph" w:styleId="Heading5">
    <w:name w:val="heading 5"/>
    <w:basedOn w:val="HeadingBase"/>
    <w:next w:val="Normal"/>
    <w:link w:val="Heading5Char"/>
    <w:qFormat/>
    <w:rsid w:val="00AE58B0"/>
    <w:pPr>
      <w:spacing w:before="80"/>
      <w:outlineLvl w:val="4"/>
    </w:pPr>
    <w:rPr>
      <w:color w:val="918585"/>
      <w:sz w:val="20"/>
    </w:rPr>
  </w:style>
  <w:style w:type="paragraph" w:styleId="Heading6">
    <w:name w:val="heading 6"/>
    <w:basedOn w:val="HeadingBase"/>
    <w:next w:val="Normal"/>
    <w:link w:val="Heading6Char"/>
    <w:qFormat/>
    <w:rsid w:val="00AE58B0"/>
    <w:pPr>
      <w:spacing w:before="60"/>
      <w:outlineLvl w:val="5"/>
    </w:pPr>
    <w:rPr>
      <w:color w:val="918585"/>
      <w:sz w:val="20"/>
    </w:rPr>
  </w:style>
  <w:style w:type="paragraph" w:styleId="Heading7">
    <w:name w:val="heading 7"/>
    <w:basedOn w:val="Normal"/>
    <w:next w:val="Normal"/>
    <w:link w:val="Heading7Char"/>
    <w:qFormat/>
    <w:rsid w:val="00AE58B0"/>
    <w:pPr>
      <w:ind w:left="720"/>
      <w:outlineLvl w:val="6"/>
    </w:pPr>
    <w:rPr>
      <w:i/>
    </w:rPr>
  </w:style>
  <w:style w:type="paragraph" w:styleId="Heading8">
    <w:name w:val="heading 8"/>
    <w:basedOn w:val="Normal"/>
    <w:next w:val="Normal"/>
    <w:link w:val="Heading8Char"/>
    <w:qFormat/>
    <w:rsid w:val="00AE58B0"/>
    <w:pPr>
      <w:ind w:left="720"/>
      <w:outlineLvl w:val="7"/>
    </w:pPr>
    <w:rPr>
      <w:i/>
    </w:rPr>
  </w:style>
  <w:style w:type="paragraph" w:styleId="Heading9">
    <w:name w:val="heading 9"/>
    <w:basedOn w:val="Normal"/>
    <w:next w:val="Normal"/>
    <w:link w:val="Heading9Char"/>
    <w:qFormat/>
    <w:rsid w:val="00AE58B0"/>
    <w:pPr>
      <w:ind w:left="720"/>
      <w:outlineLvl w:val="8"/>
    </w:pPr>
    <w:rPr>
      <w:i/>
    </w:rPr>
  </w:style>
  <w:style w:type="character" w:default="1" w:styleId="DefaultParagraphFont">
    <w:name w:val="Default Paragraph Font"/>
    <w:uiPriority w:val="1"/>
    <w:unhideWhenUsed/>
    <w:rsid w:val="00AE58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58B0"/>
  </w:style>
  <w:style w:type="character" w:customStyle="1" w:styleId="Heading1Char">
    <w:name w:val="Heading 1 Char"/>
    <w:basedOn w:val="DefaultParagraphFont"/>
    <w:link w:val="Heading1"/>
    <w:rsid w:val="00AE58B0"/>
    <w:rPr>
      <w:rFonts w:ascii="Times New Roman" w:eastAsia="Times New Roman" w:hAnsi="Times New Roman" w:cs="Times New Roman"/>
      <w:b/>
      <w:sz w:val="32"/>
      <w:szCs w:val="20"/>
      <w:lang w:eastAsia="en-US"/>
    </w:rPr>
  </w:style>
  <w:style w:type="paragraph" w:styleId="BodyText">
    <w:name w:val="Body Text"/>
    <w:basedOn w:val="Normal"/>
    <w:link w:val="BodyTextChar"/>
    <w:rsid w:val="00AE58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58B0"/>
    <w:rPr>
      <w:rFonts w:ascii="Times New Roman" w:eastAsia="Times New Roman" w:hAnsi="Times New Roman" w:cs="Times New Roman"/>
      <w:sz w:val="24"/>
      <w:lang w:eastAsia="en-US"/>
    </w:rPr>
  </w:style>
  <w:style w:type="paragraph" w:styleId="ListBullet">
    <w:name w:val="List Bullet"/>
    <w:basedOn w:val="List"/>
    <w:rsid w:val="00AE58B0"/>
    <w:pPr>
      <w:numPr>
        <w:numId w:val="13"/>
      </w:numPr>
      <w:tabs>
        <w:tab w:val="clear" w:pos="340"/>
      </w:tabs>
      <w:spacing w:before="40" w:after="40"/>
    </w:pPr>
  </w:style>
  <w:style w:type="character" w:customStyle="1" w:styleId="SpecialBold">
    <w:name w:val="Special Bold"/>
    <w:basedOn w:val="DefaultParagraphFont"/>
    <w:rsid w:val="00AE58B0"/>
    <w:rPr>
      <w:b/>
      <w:spacing w:val="0"/>
    </w:rPr>
  </w:style>
  <w:style w:type="paragraph" w:styleId="ListBullet2">
    <w:name w:val="List Bullet 2"/>
    <w:basedOn w:val="List2"/>
    <w:rsid w:val="00AE58B0"/>
    <w:pPr>
      <w:numPr>
        <w:numId w:val="14"/>
      </w:numPr>
      <w:tabs>
        <w:tab w:val="clear" w:pos="680"/>
      </w:tabs>
    </w:pPr>
  </w:style>
  <w:style w:type="character" w:styleId="Emphasis">
    <w:name w:val="Emphasis"/>
    <w:basedOn w:val="DefaultParagraphFont"/>
    <w:qFormat/>
    <w:rsid w:val="00AE58B0"/>
    <w:rPr>
      <w:i/>
    </w:rPr>
  </w:style>
  <w:style w:type="paragraph" w:customStyle="1" w:styleId="SuperHeading">
    <w:name w:val="SuperHeading"/>
    <w:basedOn w:val="Normal"/>
    <w:rsid w:val="00AE58B0"/>
    <w:pPr>
      <w:spacing w:before="240" w:after="120"/>
      <w:outlineLvl w:val="0"/>
    </w:pPr>
    <w:rPr>
      <w:rFonts w:ascii="Times New Roman" w:hAnsi="Times New Roman"/>
      <w:b/>
      <w:sz w:val="32"/>
    </w:rPr>
  </w:style>
  <w:style w:type="paragraph" w:customStyle="1" w:styleId="AllowPageBreak">
    <w:name w:val="AllowPageBreak"/>
    <w:rsid w:val="00AE58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AE58B0"/>
    <w:rPr>
      <w:rFonts w:ascii="Courier New" w:hAnsi="Courier New"/>
    </w:rPr>
  </w:style>
  <w:style w:type="paragraph" w:styleId="ListBullet3">
    <w:name w:val="List Bullet 3"/>
    <w:basedOn w:val="List3"/>
    <w:rsid w:val="00AE58B0"/>
    <w:pPr>
      <w:numPr>
        <w:numId w:val="3"/>
      </w:numPr>
      <w:tabs>
        <w:tab w:val="clear" w:pos="1021"/>
      </w:tabs>
      <w:ind w:left="1037" w:hanging="357"/>
    </w:pPr>
  </w:style>
  <w:style w:type="character" w:customStyle="1" w:styleId="Heading2Char">
    <w:name w:val="Heading 2 Char"/>
    <w:basedOn w:val="DefaultParagraphFont"/>
    <w:link w:val="Heading2"/>
    <w:rsid w:val="00AE58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58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58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58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58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58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58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58B0"/>
    <w:rPr>
      <w:rFonts w:ascii="Courier New" w:eastAsia="Times New Roman" w:hAnsi="Courier New" w:cs="Times New Roman"/>
      <w:i/>
      <w:szCs w:val="20"/>
      <w:lang w:eastAsia="en-US"/>
    </w:rPr>
  </w:style>
  <w:style w:type="paragraph" w:customStyle="1" w:styleId="HeadingBase">
    <w:name w:val="Heading Base"/>
    <w:rsid w:val="00AE58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58B0"/>
    <w:pPr>
      <w:tabs>
        <w:tab w:val="right" w:leader="dot" w:pos="9072"/>
      </w:tabs>
      <w:ind w:left="567"/>
    </w:pPr>
    <w:rPr>
      <w:szCs w:val="22"/>
    </w:rPr>
  </w:style>
  <w:style w:type="paragraph" w:customStyle="1" w:styleId="TOCBase">
    <w:name w:val="TOC Base"/>
    <w:rsid w:val="00AE58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58B0"/>
    <w:pPr>
      <w:tabs>
        <w:tab w:val="right" w:leader="dot" w:pos="9072"/>
      </w:tabs>
      <w:spacing w:before="40" w:after="40"/>
      <w:ind w:left="284"/>
    </w:pPr>
    <w:rPr>
      <w:rFonts w:ascii="Times New Roman" w:hAnsi="Times New Roman"/>
    </w:rPr>
  </w:style>
  <w:style w:type="paragraph" w:styleId="TOC1">
    <w:name w:val="toc 1"/>
    <w:basedOn w:val="TOCBase"/>
    <w:next w:val="Normal"/>
    <w:rsid w:val="00AE58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58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58B0"/>
    <w:rPr>
      <w:rFonts w:ascii="Times New Roman" w:eastAsia="Times New Roman" w:hAnsi="Times New Roman" w:cs="Times New Roman"/>
      <w:sz w:val="16"/>
      <w:lang w:eastAsia="en-US"/>
    </w:rPr>
  </w:style>
  <w:style w:type="paragraph" w:styleId="Title">
    <w:name w:val="Title"/>
    <w:basedOn w:val="HeadingBase"/>
    <w:link w:val="TitleChar"/>
    <w:qFormat/>
    <w:rsid w:val="00AE58B0"/>
    <w:pPr>
      <w:spacing w:before="5040"/>
      <w:jc w:val="center"/>
    </w:pPr>
    <w:rPr>
      <w:sz w:val="48"/>
      <w:szCs w:val="72"/>
      <w:lang w:val="en-US"/>
    </w:rPr>
  </w:style>
  <w:style w:type="character" w:customStyle="1" w:styleId="TitleChar">
    <w:name w:val="Title Char"/>
    <w:basedOn w:val="DefaultParagraphFont"/>
    <w:link w:val="Title"/>
    <w:rsid w:val="00AE58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58B0"/>
    <w:pPr>
      <w:tabs>
        <w:tab w:val="left" w:pos="3600"/>
        <w:tab w:val="left" w:pos="3958"/>
      </w:tabs>
    </w:pPr>
  </w:style>
  <w:style w:type="paragraph" w:styleId="List">
    <w:name w:val="List"/>
    <w:basedOn w:val="BodyText"/>
    <w:next w:val="BodyText"/>
    <w:rsid w:val="00AE58B0"/>
    <w:pPr>
      <w:tabs>
        <w:tab w:val="left" w:pos="340"/>
      </w:tabs>
      <w:spacing w:before="60" w:after="60"/>
      <w:ind w:left="340" w:hanging="340"/>
    </w:pPr>
  </w:style>
  <w:style w:type="paragraph" w:customStyle="1" w:styleId="Note">
    <w:name w:val="Note"/>
    <w:basedOn w:val="BodyText"/>
    <w:rsid w:val="00AE58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58B0"/>
    <w:pPr>
      <w:framePr w:wrap="auto" w:hAnchor="text" w:y="6049"/>
    </w:pPr>
    <w:rPr>
      <w:color w:val="000000"/>
      <w:sz w:val="40"/>
    </w:rPr>
  </w:style>
  <w:style w:type="paragraph" w:customStyle="1" w:styleId="TOCTitle">
    <w:name w:val="TOCTitle"/>
    <w:basedOn w:val="Heading1"/>
    <w:rsid w:val="00AE58B0"/>
    <w:pPr>
      <w:spacing w:after="240"/>
      <w:jc w:val="center"/>
      <w:outlineLvl w:val="9"/>
    </w:pPr>
    <w:rPr>
      <w:caps/>
    </w:rPr>
  </w:style>
  <w:style w:type="paragraph" w:customStyle="1" w:styleId="Version">
    <w:name w:val="Version"/>
    <w:rsid w:val="00AE58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58B0"/>
    <w:pPr>
      <w:keepNext w:val="0"/>
      <w:tabs>
        <w:tab w:val="right" w:pos="4176"/>
      </w:tabs>
      <w:ind w:left="198" w:hanging="198"/>
    </w:pPr>
    <w:rPr>
      <w:rFonts w:ascii="Garamond" w:hAnsi="Garamond"/>
    </w:rPr>
  </w:style>
  <w:style w:type="paragraph" w:styleId="IndexHeading">
    <w:name w:val="index heading"/>
    <w:basedOn w:val="Normal"/>
    <w:next w:val="Index1"/>
    <w:semiHidden/>
    <w:rsid w:val="00AE58B0"/>
    <w:pPr>
      <w:spacing w:before="120" w:after="120"/>
    </w:pPr>
    <w:rPr>
      <w:rFonts w:ascii="Arial" w:hAnsi="Arial"/>
      <w:b/>
      <w:color w:val="918585"/>
      <w:sz w:val="24"/>
    </w:rPr>
  </w:style>
  <w:style w:type="paragraph" w:styleId="Header">
    <w:name w:val="header"/>
    <w:basedOn w:val="Normal"/>
    <w:link w:val="HeaderChar"/>
    <w:rsid w:val="00AE58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58B0"/>
    <w:rPr>
      <w:rFonts w:ascii="Times New Roman" w:eastAsia="Times New Roman" w:hAnsi="Times New Roman" w:cs="Times New Roman"/>
      <w:sz w:val="16"/>
      <w:szCs w:val="20"/>
      <w:lang w:val="en-GB" w:eastAsia="en-US"/>
    </w:rPr>
  </w:style>
  <w:style w:type="paragraph" w:customStyle="1" w:styleId="Chapter">
    <w:name w:val="Chapter"/>
    <w:basedOn w:val="Normal"/>
    <w:rsid w:val="00AE58B0"/>
    <w:pPr>
      <w:spacing w:before="240"/>
    </w:pPr>
    <w:rPr>
      <w:rFonts w:ascii="Times New Roman" w:hAnsi="Times New Roman"/>
      <w:smallCaps/>
      <w:spacing w:val="80"/>
      <w:sz w:val="28"/>
    </w:rPr>
  </w:style>
  <w:style w:type="paragraph" w:customStyle="1" w:styleId="InChapter">
    <w:name w:val="InChapter"/>
    <w:basedOn w:val="Heading3"/>
    <w:rsid w:val="00AE58B0"/>
    <w:pPr>
      <w:spacing w:after="240"/>
      <w:outlineLvl w:val="9"/>
    </w:pPr>
    <w:rPr>
      <w:noProof/>
    </w:rPr>
  </w:style>
  <w:style w:type="paragraph" w:styleId="Index2">
    <w:name w:val="index 2"/>
    <w:basedOn w:val="Normal"/>
    <w:next w:val="Normal"/>
    <w:semiHidden/>
    <w:rsid w:val="00AE58B0"/>
    <w:pPr>
      <w:tabs>
        <w:tab w:val="right" w:pos="4176"/>
      </w:tabs>
      <w:ind w:left="568" w:hanging="284"/>
    </w:pPr>
    <w:rPr>
      <w:rFonts w:ascii="Garamond" w:hAnsi="Garamond"/>
    </w:rPr>
  </w:style>
  <w:style w:type="paragraph" w:customStyle="1" w:styleId="Byline">
    <w:name w:val="Byline"/>
    <w:rsid w:val="00AE58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58B0"/>
    <w:pPr>
      <w:tabs>
        <w:tab w:val="clear" w:pos="3600"/>
        <w:tab w:val="clear" w:pos="3958"/>
      </w:tabs>
      <w:jc w:val="right"/>
    </w:pPr>
  </w:style>
  <w:style w:type="paragraph" w:styleId="Caption">
    <w:name w:val="caption"/>
    <w:basedOn w:val="BodyText"/>
    <w:next w:val="Normal"/>
    <w:qFormat/>
    <w:rsid w:val="00AE58B0"/>
    <w:pPr>
      <w:framePr w:w="2268" w:hSpace="181" w:vSpace="181" w:wrap="around" w:vAnchor="text" w:hAnchor="page" w:x="1135" w:y="285" w:anchorLock="1"/>
    </w:pPr>
    <w:rPr>
      <w:i/>
    </w:rPr>
  </w:style>
  <w:style w:type="paragraph" w:customStyle="1" w:styleId="MiniTOCTitle">
    <w:name w:val="MiniTOCTitle"/>
    <w:basedOn w:val="Heading4"/>
    <w:rsid w:val="00AE58B0"/>
    <w:pPr>
      <w:spacing w:before="240"/>
      <w:outlineLvl w:val="9"/>
    </w:pPr>
    <w:rPr>
      <w:noProof/>
      <w:sz w:val="24"/>
    </w:rPr>
  </w:style>
  <w:style w:type="paragraph" w:customStyle="1" w:styleId="MiniTOCItem">
    <w:name w:val="MiniTOCItem"/>
    <w:basedOn w:val="ListBullet"/>
    <w:rsid w:val="00AE58B0"/>
    <w:pPr>
      <w:numPr>
        <w:numId w:val="0"/>
      </w:numPr>
      <w:tabs>
        <w:tab w:val="right" w:leader="dot" w:pos="6521"/>
      </w:tabs>
      <w:spacing w:before="0" w:after="0"/>
    </w:pPr>
  </w:style>
  <w:style w:type="paragraph" w:customStyle="1" w:styleId="TOFTitle">
    <w:name w:val="TOFTitle"/>
    <w:basedOn w:val="TOCTitle"/>
    <w:rsid w:val="00AE58B0"/>
  </w:style>
  <w:style w:type="paragraph" w:styleId="TableofFigures">
    <w:name w:val="table of figures"/>
    <w:basedOn w:val="Normal"/>
    <w:next w:val="Normal"/>
    <w:semiHidden/>
    <w:rsid w:val="00AE58B0"/>
    <w:pPr>
      <w:tabs>
        <w:tab w:val="right" w:leader="dot" w:pos="9072"/>
      </w:tabs>
      <w:ind w:left="970" w:hanging="403"/>
    </w:pPr>
    <w:rPr>
      <w:rFonts w:ascii="Times New Roman" w:hAnsi="Times New Roman"/>
      <w:b/>
    </w:rPr>
  </w:style>
  <w:style w:type="paragraph" w:styleId="ListNumber">
    <w:name w:val="List Number"/>
    <w:basedOn w:val="List"/>
    <w:rsid w:val="00AE58B0"/>
    <w:pPr>
      <w:numPr>
        <w:numId w:val="16"/>
      </w:numPr>
      <w:tabs>
        <w:tab w:val="clear" w:pos="340"/>
      </w:tabs>
    </w:pPr>
  </w:style>
  <w:style w:type="character" w:customStyle="1" w:styleId="WingdingSymbols">
    <w:name w:val="Wingding Symbols"/>
    <w:rsid w:val="00AE58B0"/>
    <w:rPr>
      <w:rFonts w:ascii="Wingdings" w:hAnsi="Wingdings"/>
    </w:rPr>
  </w:style>
  <w:style w:type="paragraph" w:customStyle="1" w:styleId="TableHeading">
    <w:name w:val="Table Heading"/>
    <w:basedOn w:val="HeadingBase"/>
    <w:rsid w:val="00AE58B0"/>
    <w:pPr>
      <w:keepLines/>
      <w:pBdr>
        <w:bottom w:val="single" w:sz="6" w:space="1" w:color="918585"/>
      </w:pBdr>
      <w:spacing w:before="240"/>
    </w:pPr>
  </w:style>
  <w:style w:type="character" w:customStyle="1" w:styleId="HotSpot">
    <w:name w:val="HotSpot"/>
    <w:rsid w:val="00AE58B0"/>
    <w:rPr>
      <w:color w:val="0033CC"/>
      <w:u w:val="none"/>
    </w:rPr>
  </w:style>
  <w:style w:type="paragraph" w:customStyle="1" w:styleId="BodyTextRight">
    <w:name w:val="Body Text Right"/>
    <w:basedOn w:val="BodyText"/>
    <w:rsid w:val="00AE58B0"/>
    <w:pPr>
      <w:spacing w:before="0" w:after="0"/>
      <w:jc w:val="right"/>
    </w:pPr>
  </w:style>
  <w:style w:type="paragraph" w:styleId="Index3">
    <w:name w:val="index 3"/>
    <w:basedOn w:val="ListNumber2"/>
    <w:next w:val="Normal"/>
    <w:semiHidden/>
    <w:rsid w:val="00AE58B0"/>
    <w:pPr>
      <w:numPr>
        <w:numId w:val="0"/>
      </w:numPr>
      <w:tabs>
        <w:tab w:val="right" w:leader="dot" w:pos="4176"/>
      </w:tabs>
    </w:pPr>
  </w:style>
  <w:style w:type="paragraph" w:styleId="ListNumber2">
    <w:name w:val="List Number 2"/>
    <w:basedOn w:val="List2"/>
    <w:rsid w:val="00AE58B0"/>
    <w:pPr>
      <w:numPr>
        <w:numId w:val="11"/>
      </w:numPr>
      <w:tabs>
        <w:tab w:val="clear" w:pos="1060"/>
      </w:tabs>
    </w:pPr>
  </w:style>
  <w:style w:type="paragraph" w:customStyle="1" w:styleId="MarginNote">
    <w:name w:val="Margin Note"/>
    <w:basedOn w:val="BodyText"/>
    <w:rsid w:val="00AE58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58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58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58B0"/>
    <w:rPr>
      <w:sz w:val="32"/>
    </w:rPr>
  </w:style>
  <w:style w:type="paragraph" w:customStyle="1" w:styleId="HeadingProcedure">
    <w:name w:val="Heading Procedure"/>
    <w:basedOn w:val="HeadingBase"/>
    <w:next w:val="Normal"/>
    <w:rsid w:val="00AE58B0"/>
    <w:pPr>
      <w:tabs>
        <w:tab w:val="left" w:pos="0"/>
      </w:tabs>
      <w:spacing w:before="120" w:after="60"/>
    </w:pPr>
    <w:rPr>
      <w:i/>
      <w:color w:val="918585"/>
      <w:sz w:val="22"/>
    </w:rPr>
  </w:style>
  <w:style w:type="paragraph" w:customStyle="1" w:styleId="TableBodyText">
    <w:name w:val="Table Body Text"/>
    <w:basedOn w:val="BodyText"/>
    <w:rsid w:val="00AE58B0"/>
    <w:pPr>
      <w:spacing w:before="60" w:after="60"/>
    </w:pPr>
  </w:style>
  <w:style w:type="paragraph" w:styleId="ListContinue">
    <w:name w:val="List Continue"/>
    <w:basedOn w:val="List"/>
    <w:rsid w:val="00AE58B0"/>
    <w:pPr>
      <w:ind w:firstLine="0"/>
    </w:pPr>
  </w:style>
  <w:style w:type="paragraph" w:customStyle="1" w:styleId="ListNote">
    <w:name w:val="List Note"/>
    <w:basedOn w:val="List"/>
    <w:rsid w:val="00AE58B0"/>
    <w:pPr>
      <w:pBdr>
        <w:top w:val="single" w:sz="6" w:space="2" w:color="918585"/>
        <w:bottom w:val="single" w:sz="6" w:space="2" w:color="918585"/>
      </w:pBdr>
      <w:tabs>
        <w:tab w:val="left" w:pos="1021"/>
      </w:tabs>
      <w:ind w:firstLine="0"/>
    </w:pPr>
  </w:style>
  <w:style w:type="paragraph" w:customStyle="1" w:styleId="Warning">
    <w:name w:val="Warning"/>
    <w:basedOn w:val="BodyText"/>
    <w:rsid w:val="00AE58B0"/>
    <w:pPr>
      <w:shd w:val="clear" w:color="auto" w:fill="D9D9D9"/>
      <w:tabs>
        <w:tab w:val="left" w:pos="992"/>
      </w:tabs>
      <w:ind w:left="119" w:right="119"/>
    </w:pPr>
    <w:rPr>
      <w:sz w:val="20"/>
    </w:rPr>
  </w:style>
  <w:style w:type="paragraph" w:customStyle="1" w:styleId="MarginIcons">
    <w:name w:val="Margin Icons"/>
    <w:basedOn w:val="BodyText"/>
    <w:rsid w:val="00AE58B0"/>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AE58B0"/>
    <w:pPr>
      <w:tabs>
        <w:tab w:val="clear" w:pos="680"/>
      </w:tabs>
      <w:spacing w:before="60" w:after="60"/>
    </w:pPr>
  </w:style>
  <w:style w:type="paragraph" w:customStyle="1" w:styleId="SubHeading2">
    <w:name w:val="SubHeading2"/>
    <w:basedOn w:val="HeadingBase"/>
    <w:rsid w:val="00AE58B0"/>
    <w:pPr>
      <w:spacing w:before="240" w:after="60"/>
    </w:pPr>
    <w:rPr>
      <w:sz w:val="20"/>
    </w:rPr>
  </w:style>
  <w:style w:type="paragraph" w:customStyle="1" w:styleId="SubHeading1">
    <w:name w:val="SubHeading1"/>
    <w:basedOn w:val="HeadingBase"/>
    <w:rsid w:val="00AE58B0"/>
    <w:pPr>
      <w:spacing w:before="240" w:after="60"/>
    </w:pPr>
    <w:rPr>
      <w:color w:val="918585"/>
      <w:sz w:val="22"/>
    </w:rPr>
  </w:style>
  <w:style w:type="paragraph" w:customStyle="1" w:styleId="SideHeading">
    <w:name w:val="Side Heading"/>
    <w:basedOn w:val="HeadingBase"/>
    <w:rsid w:val="00AE58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58B0"/>
    <w:pPr>
      <w:numPr>
        <w:numId w:val="12"/>
      </w:numPr>
    </w:pPr>
  </w:style>
  <w:style w:type="paragraph" w:styleId="PlainText">
    <w:name w:val="Plain Text"/>
    <w:basedOn w:val="Normal"/>
    <w:link w:val="PlainTextChar"/>
    <w:rsid w:val="00AE58B0"/>
    <w:rPr>
      <w:sz w:val="20"/>
    </w:rPr>
  </w:style>
  <w:style w:type="character" w:customStyle="1" w:styleId="PlainTextChar">
    <w:name w:val="Plain Text Char"/>
    <w:basedOn w:val="DefaultParagraphFont"/>
    <w:link w:val="PlainText"/>
    <w:rsid w:val="00AE58B0"/>
    <w:rPr>
      <w:rFonts w:ascii="Courier New" w:eastAsia="Times New Roman" w:hAnsi="Courier New" w:cs="Times New Roman"/>
      <w:sz w:val="20"/>
      <w:szCs w:val="20"/>
      <w:lang w:eastAsia="en-US"/>
    </w:rPr>
  </w:style>
  <w:style w:type="character" w:customStyle="1" w:styleId="MenuOption">
    <w:name w:val="Menu Option"/>
    <w:basedOn w:val="DefaultParagraphFont"/>
    <w:rsid w:val="00AE58B0"/>
    <w:rPr>
      <w:b/>
      <w:smallCaps/>
    </w:rPr>
  </w:style>
  <w:style w:type="paragraph" w:customStyle="1" w:styleId="TableListNumber">
    <w:name w:val="Table List Number"/>
    <w:basedOn w:val="ListNumber"/>
    <w:rsid w:val="00AE58B0"/>
    <w:pPr>
      <w:numPr>
        <w:numId w:val="0"/>
      </w:numPr>
    </w:pPr>
  </w:style>
  <w:style w:type="paragraph" w:styleId="TOC4">
    <w:name w:val="toc 4"/>
    <w:basedOn w:val="TOCBase"/>
    <w:next w:val="Normal"/>
    <w:semiHidden/>
    <w:rsid w:val="00AE58B0"/>
    <w:pPr>
      <w:tabs>
        <w:tab w:val="right" w:leader="dot" w:pos="9071"/>
      </w:tabs>
      <w:ind w:left="1701"/>
    </w:pPr>
  </w:style>
  <w:style w:type="paragraph" w:customStyle="1" w:styleId="ListAlpha">
    <w:name w:val="List Alpha"/>
    <w:basedOn w:val="List"/>
    <w:rsid w:val="00AE58B0"/>
    <w:pPr>
      <w:numPr>
        <w:numId w:val="10"/>
      </w:numPr>
    </w:pPr>
  </w:style>
  <w:style w:type="paragraph" w:customStyle="1" w:styleId="ListAlpha2">
    <w:name w:val="List Alpha 2"/>
    <w:basedOn w:val="List2"/>
    <w:rsid w:val="00AE58B0"/>
    <w:pPr>
      <w:numPr>
        <w:numId w:val="9"/>
      </w:numPr>
    </w:pPr>
  </w:style>
  <w:style w:type="paragraph" w:styleId="List2">
    <w:name w:val="List 2"/>
    <w:basedOn w:val="BodyText"/>
    <w:rsid w:val="00AE58B0"/>
    <w:pPr>
      <w:tabs>
        <w:tab w:val="left" w:pos="680"/>
      </w:tabs>
      <w:spacing w:before="60" w:after="60"/>
      <w:ind w:left="680" w:hanging="340"/>
    </w:pPr>
  </w:style>
  <w:style w:type="paragraph" w:styleId="List3">
    <w:name w:val="List 3"/>
    <w:basedOn w:val="BodyText"/>
    <w:rsid w:val="00AE58B0"/>
    <w:pPr>
      <w:tabs>
        <w:tab w:val="left" w:pos="1021"/>
      </w:tabs>
      <w:spacing w:before="60" w:after="60"/>
      <w:ind w:left="1020" w:hanging="340"/>
    </w:pPr>
  </w:style>
  <w:style w:type="paragraph" w:styleId="List4">
    <w:name w:val="List 4"/>
    <w:basedOn w:val="BodyText"/>
    <w:rsid w:val="00AE58B0"/>
    <w:pPr>
      <w:tabs>
        <w:tab w:val="left" w:pos="1361"/>
      </w:tabs>
      <w:spacing w:before="60" w:after="60"/>
      <w:ind w:left="1361" w:hanging="340"/>
    </w:pPr>
  </w:style>
  <w:style w:type="paragraph" w:styleId="List5">
    <w:name w:val="List 5"/>
    <w:basedOn w:val="BodyText"/>
    <w:rsid w:val="00AE58B0"/>
    <w:pPr>
      <w:tabs>
        <w:tab w:val="left" w:pos="1701"/>
      </w:tabs>
      <w:spacing w:before="60" w:after="60"/>
      <w:ind w:left="1701" w:hanging="340"/>
    </w:pPr>
  </w:style>
  <w:style w:type="paragraph" w:styleId="ListBullet4">
    <w:name w:val="List Bullet 4"/>
    <w:basedOn w:val="List4"/>
    <w:rsid w:val="00AE58B0"/>
    <w:pPr>
      <w:numPr>
        <w:numId w:val="4"/>
      </w:numPr>
      <w:tabs>
        <w:tab w:val="clear" w:pos="1361"/>
      </w:tabs>
    </w:pPr>
  </w:style>
  <w:style w:type="paragraph" w:styleId="ListBullet5">
    <w:name w:val="List Bullet 5"/>
    <w:basedOn w:val="List5"/>
    <w:rsid w:val="00AE58B0"/>
    <w:pPr>
      <w:numPr>
        <w:numId w:val="5"/>
      </w:numPr>
    </w:pPr>
  </w:style>
  <w:style w:type="paragraph" w:styleId="ListContinue2">
    <w:name w:val="List Continue 2"/>
    <w:basedOn w:val="List2"/>
    <w:rsid w:val="00AE58B0"/>
    <w:pPr>
      <w:ind w:firstLine="0"/>
    </w:pPr>
  </w:style>
  <w:style w:type="paragraph" w:styleId="ListContinue3">
    <w:name w:val="List Continue 3"/>
    <w:basedOn w:val="List3"/>
    <w:rsid w:val="00AE58B0"/>
    <w:pPr>
      <w:ind w:left="1021" w:firstLine="0"/>
    </w:pPr>
  </w:style>
  <w:style w:type="paragraph" w:styleId="ListContinue4">
    <w:name w:val="List Continue 4"/>
    <w:basedOn w:val="List4"/>
    <w:rsid w:val="00AE58B0"/>
    <w:pPr>
      <w:ind w:firstLine="0"/>
    </w:pPr>
  </w:style>
  <w:style w:type="paragraph" w:styleId="ListContinue5">
    <w:name w:val="List Continue 5"/>
    <w:basedOn w:val="List5"/>
    <w:rsid w:val="00AE58B0"/>
    <w:pPr>
      <w:ind w:firstLine="0"/>
    </w:pPr>
  </w:style>
  <w:style w:type="paragraph" w:styleId="ListNumber3">
    <w:name w:val="List Number 3"/>
    <w:basedOn w:val="List3"/>
    <w:rsid w:val="00AE58B0"/>
    <w:pPr>
      <w:numPr>
        <w:numId w:val="6"/>
      </w:numPr>
    </w:pPr>
  </w:style>
  <w:style w:type="paragraph" w:styleId="ListNumber4">
    <w:name w:val="List Number 4"/>
    <w:basedOn w:val="List4"/>
    <w:rsid w:val="00AE58B0"/>
    <w:pPr>
      <w:numPr>
        <w:numId w:val="7"/>
      </w:numPr>
    </w:pPr>
  </w:style>
  <w:style w:type="paragraph" w:styleId="ListNumber5">
    <w:name w:val="List Number 5"/>
    <w:basedOn w:val="List5"/>
    <w:rsid w:val="00AE58B0"/>
    <w:pPr>
      <w:numPr>
        <w:numId w:val="8"/>
      </w:numPr>
    </w:pPr>
  </w:style>
  <w:style w:type="paragraph" w:styleId="BlockText">
    <w:name w:val="Block Text"/>
    <w:basedOn w:val="Normal"/>
    <w:rsid w:val="00AE58B0"/>
    <w:pPr>
      <w:spacing w:after="120"/>
      <w:ind w:left="1440" w:right="1440"/>
    </w:pPr>
  </w:style>
  <w:style w:type="character" w:customStyle="1" w:styleId="Subscript">
    <w:name w:val="Subscript"/>
    <w:basedOn w:val="DefaultParagraphFont"/>
    <w:rsid w:val="00AE58B0"/>
    <w:rPr>
      <w:sz w:val="16"/>
      <w:vertAlign w:val="subscript"/>
    </w:rPr>
  </w:style>
  <w:style w:type="character" w:customStyle="1" w:styleId="Superscript">
    <w:name w:val="Superscript"/>
    <w:basedOn w:val="DefaultParagraphFont"/>
    <w:rsid w:val="00AE58B0"/>
    <w:rPr>
      <w:sz w:val="16"/>
      <w:vertAlign w:val="superscript"/>
    </w:rPr>
  </w:style>
  <w:style w:type="character" w:customStyle="1" w:styleId="Symbols">
    <w:name w:val="Symbols"/>
    <w:basedOn w:val="DefaultParagraphFont"/>
    <w:rsid w:val="00AE58B0"/>
    <w:rPr>
      <w:rFonts w:ascii="Symbol" w:hAnsi="Symbol"/>
    </w:rPr>
  </w:style>
  <w:style w:type="character" w:customStyle="1" w:styleId="MenuOptions">
    <w:name w:val="Menu Options"/>
    <w:basedOn w:val="DefaultParagraphFont"/>
    <w:rsid w:val="00AE58B0"/>
    <w:rPr>
      <w:rFonts w:ascii="Arial Narrow" w:hAnsi="Arial Narrow"/>
      <w:smallCaps/>
    </w:rPr>
  </w:style>
  <w:style w:type="character" w:customStyle="1" w:styleId="Buttons">
    <w:name w:val="Buttons"/>
    <w:basedOn w:val="DefaultParagraphFont"/>
    <w:rsid w:val="00AE58B0"/>
    <w:rPr>
      <w:b/>
    </w:rPr>
  </w:style>
  <w:style w:type="character" w:customStyle="1" w:styleId="Underlined">
    <w:name w:val="Underlined"/>
    <w:basedOn w:val="DefaultParagraphFont"/>
    <w:rsid w:val="00AE58B0"/>
    <w:rPr>
      <w:u w:val="single"/>
    </w:rPr>
  </w:style>
  <w:style w:type="paragraph" w:customStyle="1" w:styleId="TableBodyTextRight">
    <w:name w:val="Table Body Text Right"/>
    <w:basedOn w:val="TableBodyText"/>
    <w:rsid w:val="00AE58B0"/>
    <w:pPr>
      <w:widowControl w:val="0"/>
      <w:autoSpaceDE w:val="0"/>
      <w:autoSpaceDN w:val="0"/>
      <w:adjustRightInd w:val="0"/>
      <w:jc w:val="right"/>
    </w:pPr>
    <w:rPr>
      <w:rFonts w:cs="Arial"/>
      <w:szCs w:val="18"/>
    </w:rPr>
  </w:style>
  <w:style w:type="paragraph" w:customStyle="1" w:styleId="CopyrightText">
    <w:name w:val="Copyright Text"/>
    <w:basedOn w:val="BodyText"/>
    <w:rsid w:val="00AE58B0"/>
    <w:rPr>
      <w:sz w:val="18"/>
    </w:rPr>
  </w:style>
  <w:style w:type="paragraph" w:customStyle="1" w:styleId="BodySmallRight">
    <w:name w:val="Body Small Right"/>
    <w:basedOn w:val="BodyTextRight"/>
    <w:rsid w:val="00AE58B0"/>
    <w:rPr>
      <w:sz w:val="18"/>
      <w:szCs w:val="18"/>
    </w:rPr>
  </w:style>
  <w:style w:type="paragraph" w:customStyle="1" w:styleId="MarginEdition">
    <w:name w:val="Margin Edition"/>
    <w:basedOn w:val="MarginNote"/>
    <w:rsid w:val="00AE58B0"/>
    <w:pPr>
      <w:spacing w:before="0" w:after="0"/>
    </w:pPr>
    <w:rPr>
      <w:rFonts w:ascii="Times New Roman" w:hAnsi="Times New Roman"/>
      <w:color w:val="999999"/>
    </w:rPr>
  </w:style>
  <w:style w:type="paragraph" w:customStyle="1" w:styleId="Spacer">
    <w:name w:val="Spacer"/>
    <w:basedOn w:val="Normal"/>
    <w:rsid w:val="00AE58B0"/>
    <w:rPr>
      <w:sz w:val="2"/>
      <w:szCs w:val="2"/>
    </w:rPr>
  </w:style>
  <w:style w:type="character" w:customStyle="1" w:styleId="Small">
    <w:name w:val="Small"/>
    <w:basedOn w:val="DefaultParagraphFont"/>
    <w:rsid w:val="00AE58B0"/>
    <w:rPr>
      <w:sz w:val="16"/>
    </w:rPr>
  </w:style>
  <w:style w:type="paragraph" w:customStyle="1" w:styleId="WideTable">
    <w:name w:val="Wide Table"/>
    <w:basedOn w:val="Normal"/>
    <w:rsid w:val="00AE58B0"/>
    <w:pPr>
      <w:ind w:left="-1418"/>
    </w:pPr>
    <w:rPr>
      <w:sz w:val="2"/>
      <w:szCs w:val="2"/>
    </w:rPr>
  </w:style>
  <w:style w:type="character" w:styleId="PageNumber">
    <w:name w:val="page number"/>
    <w:basedOn w:val="DefaultParagraphFont"/>
    <w:rsid w:val="00AE58B0"/>
  </w:style>
  <w:style w:type="paragraph" w:styleId="Quote">
    <w:name w:val="Quote"/>
    <w:basedOn w:val="Heading1"/>
    <w:link w:val="QuoteChar"/>
    <w:qFormat/>
    <w:rsid w:val="00AE58B0"/>
    <w:rPr>
      <w:b w:val="0"/>
      <w:sz w:val="72"/>
      <w:szCs w:val="72"/>
      <w:lang w:val="en-NZ"/>
    </w:rPr>
  </w:style>
  <w:style w:type="character" w:customStyle="1" w:styleId="QuoteChar">
    <w:name w:val="Quote Char"/>
    <w:basedOn w:val="DefaultParagraphFont"/>
    <w:link w:val="Quote"/>
    <w:rsid w:val="00AE58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58B0"/>
    <w:pPr>
      <w:pageBreakBefore/>
    </w:pPr>
  </w:style>
  <w:style w:type="paragraph" w:customStyle="1" w:styleId="Border">
    <w:name w:val="Border"/>
    <w:basedOn w:val="Normal"/>
    <w:qFormat/>
    <w:rsid w:val="00AE58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58B0"/>
    <w:rPr>
      <w:b/>
      <w:bCs/>
      <w:i/>
      <w:iCs/>
      <w:color w:val="auto"/>
    </w:rPr>
  </w:style>
  <w:style w:type="paragraph" w:styleId="IntenseQuote">
    <w:name w:val="Intense Quote"/>
    <w:basedOn w:val="Normal"/>
    <w:next w:val="Normal"/>
    <w:link w:val="IntenseQuoteChar"/>
    <w:uiPriority w:val="30"/>
    <w:qFormat/>
    <w:rsid w:val="00AE58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58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58B0"/>
    <w:rPr>
      <w:smallCaps/>
      <w:color w:val="auto"/>
      <w:u w:val="single"/>
    </w:rPr>
  </w:style>
  <w:style w:type="character" w:styleId="IntenseReference">
    <w:name w:val="Intense Reference"/>
    <w:basedOn w:val="DefaultParagraphFont"/>
    <w:uiPriority w:val="32"/>
    <w:qFormat/>
    <w:rsid w:val="00AE58B0"/>
    <w:rPr>
      <w:b/>
      <w:bCs/>
      <w:smallCaps/>
      <w:color w:val="auto"/>
      <w:spacing w:val="5"/>
      <w:u w:val="single"/>
    </w:rPr>
  </w:style>
  <w:style w:type="paragraph" w:customStyle="1" w:styleId="2ColumnHeading">
    <w:name w:val="2Column Heading"/>
    <w:basedOn w:val="BodyText"/>
    <w:qFormat/>
    <w:rsid w:val="00AE58B0"/>
    <w:pPr>
      <w:spacing w:after="60"/>
      <w:ind w:left="-2268"/>
    </w:pPr>
    <w:rPr>
      <w:b/>
    </w:rPr>
  </w:style>
  <w:style w:type="paragraph" w:customStyle="1" w:styleId="Heading1TOC">
    <w:name w:val="Heading1 TOC"/>
    <w:basedOn w:val="Normal"/>
    <w:qFormat/>
    <w:rsid w:val="00AE58B0"/>
    <w:pPr>
      <w:spacing w:before="240" w:after="120"/>
    </w:pPr>
    <w:rPr>
      <w:rFonts w:ascii="Times New Roman" w:hAnsi="Times New Roman"/>
      <w:b/>
      <w:sz w:val="32"/>
    </w:rPr>
  </w:style>
  <w:style w:type="paragraph" w:customStyle="1" w:styleId="Heading2TOC">
    <w:name w:val="Heading2 TOC"/>
    <w:basedOn w:val="Normal"/>
    <w:qFormat/>
    <w:rsid w:val="00AE58B0"/>
    <w:pPr>
      <w:spacing w:before="240" w:after="60"/>
    </w:pPr>
    <w:rPr>
      <w:rFonts w:ascii="Times New Roman" w:hAnsi="Times New Roman"/>
      <w:b/>
      <w:sz w:val="28"/>
    </w:rPr>
  </w:style>
  <w:style w:type="character" w:customStyle="1" w:styleId="Underline">
    <w:name w:val="Underline"/>
    <w:basedOn w:val="DefaultParagraphFont"/>
    <w:qFormat/>
    <w:rsid w:val="00AE58B0"/>
    <w:rPr>
      <w:u w:val="single"/>
    </w:rPr>
  </w:style>
  <w:style w:type="character" w:customStyle="1" w:styleId="BoldandItalics">
    <w:name w:val="Bold and Italics"/>
    <w:qFormat/>
    <w:rsid w:val="00AE58B0"/>
    <w:rPr>
      <w:b/>
      <w:i/>
      <w:u w:val="none"/>
    </w:rPr>
  </w:style>
  <w:style w:type="paragraph" w:styleId="BalloonText">
    <w:name w:val="Balloon Text"/>
    <w:basedOn w:val="Normal"/>
    <w:link w:val="BalloonTextChar"/>
    <w:rsid w:val="00AE58B0"/>
    <w:rPr>
      <w:rFonts w:ascii="Tahoma" w:hAnsi="Tahoma" w:cs="Tahoma"/>
      <w:sz w:val="16"/>
      <w:szCs w:val="16"/>
    </w:rPr>
  </w:style>
  <w:style w:type="character" w:customStyle="1" w:styleId="BalloonTextChar">
    <w:name w:val="Balloon Text Char"/>
    <w:basedOn w:val="DefaultParagraphFont"/>
    <w:link w:val="BalloonText"/>
    <w:rsid w:val="00AE58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58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58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58B0"/>
    <w:rPr>
      <w:b/>
      <w:color w:val="660033"/>
      <w:spacing w:val="0"/>
    </w:rPr>
  </w:style>
  <w:style w:type="paragraph" w:customStyle="1" w:styleId="Nameditemlist">
    <w:name w:val="Named item list"/>
    <w:basedOn w:val="BodyText"/>
    <w:qFormat/>
    <w:rsid w:val="00AE58B0"/>
    <w:pPr>
      <w:tabs>
        <w:tab w:val="left" w:pos="2835"/>
      </w:tabs>
      <w:ind w:left="2835" w:hanging="2835"/>
    </w:pPr>
  </w:style>
  <w:style w:type="paragraph" w:customStyle="1" w:styleId="BodyTextnopadding">
    <w:name w:val="Body Text no padding"/>
    <w:basedOn w:val="BodyText"/>
    <w:qFormat/>
    <w:rsid w:val="00AE58B0"/>
    <w:pPr>
      <w:spacing w:before="0" w:after="0"/>
    </w:pPr>
  </w:style>
  <w:style w:type="paragraph" w:customStyle="1" w:styleId="BodyTextBold">
    <w:name w:val="Body Text Bold"/>
    <w:basedOn w:val="BodyText"/>
    <w:qFormat/>
    <w:rsid w:val="00AE58B0"/>
    <w:rPr>
      <w:b/>
    </w:rPr>
  </w:style>
  <w:style w:type="character" w:styleId="Hyperlink">
    <w:name w:val="Hyperlink"/>
    <w:basedOn w:val="DefaultParagraphFont"/>
    <w:uiPriority w:val="99"/>
    <w:unhideWhenUsed/>
    <w:rsid w:val="005066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933</Words>
  <Characters>6480</Characters>
  <Application>Microsoft Office Word</Application>
  <DocSecurity>0</DocSecurity>
  <Lines>196</Lines>
  <Paragraphs>172</Paragraphs>
  <ScaleCrop>false</ScaleCrop>
  <Company>Author-it Software Corporation Ltd.</Company>
  <LinksUpToDate>false</LinksUpToDate>
  <CharactersWithSpaces>7241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HLTANA006 Assist with clinical procedures used in anaesthesia</dc:title>
  <dc:subject>Approved</dc:subject>
  <dc:creator>SkillsIQ</dc:creator>
  <cp:keywords>Release: 2</cp:keywords>
  <dc:description>Review Date: 12 April 2008</dc:description>
  <cp:lastModifiedBy>HSD_TPCMSd.prod</cp:lastModifiedBy>
  <cp:revision>3</cp:revision>
  <dcterms:created xsi:type="dcterms:W3CDTF">2022-04-08T09:25:00Z</dcterms:created>
  <dcterms:modified xsi:type="dcterms:W3CDTF">2022-04-08T09:25:00Z</dcterms:modified>
</cp:coreProperties>
</file>