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F42" w:rsidP="00B25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HLTANA005 Maintain quality and supply of anaesthetic equipment and consumables</w:t>
      </w:r>
      <w:r>
        <w:fldChar w:fldCharType="end"/>
      </w:r>
    </w:p>
    <w:p w:rsidR="00B25F42" w:rsidP="00B25F42">
      <w:pPr>
        <w:pStyle w:val="Version"/>
        <w:sectPr w:rsidSect="00E12D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DA7" w:rsidP="00E12DA7">
      <w:pPr>
        <w:pStyle w:val="SuperHeading"/>
      </w:pPr>
      <w:r w:rsidRPr="00E12DA7">
        <w:t>Assessment Requirements for HLTANA005 Maintain quality and supply of anaesthetic equipment and consumables</w:t>
      </w:r>
    </w:p>
    <w:p w:rsidR="00000000" w:rsidRPr="00E12DA7" w:rsidP="00E12DA7">
      <w:pPr>
        <w:pStyle w:val="Heading1"/>
      </w:pPr>
      <w:bookmarkStart w:id="1" w:name="O_742181"/>
      <w:bookmarkEnd w:id="1"/>
      <w:r w:rsidRPr="00E12D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12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DA7" w:rsidP="00E12DA7">
            <w:pPr>
              <w:pStyle w:val="BodyText"/>
            </w:pPr>
            <w:r w:rsidRPr="00E12DA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DA7">
            <w:pPr>
              <w:pStyle w:val="BodyText"/>
              <w:rPr>
                <w:lang w:val="en-NZ"/>
              </w:rPr>
            </w:pPr>
            <w:r w:rsidRPr="00E12DA7">
              <w:rPr>
                <w:rStyle w:val="SpecialBold"/>
              </w:rPr>
              <w:t>Comments</w:t>
            </w:r>
          </w:p>
        </w:tc>
      </w:tr>
      <w:tr w:rsidTr="00E12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DA7">
            <w:pPr>
              <w:pStyle w:val="BodyText"/>
              <w:rPr>
                <w:lang w:val="en-NZ"/>
              </w:rPr>
            </w:pPr>
            <w:r w:rsidRPr="00E12DA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DA7" w:rsidP="00E12DA7">
            <w:pPr>
              <w:pStyle w:val="BodyText"/>
            </w:pPr>
            <w:r w:rsidRPr="00E12DA7">
              <w:t xml:space="preserve">This version was released in </w:t>
            </w:r>
            <w:r w:rsidRPr="00E12DA7">
              <w:rPr>
                <w:rStyle w:val="Emphasis"/>
              </w:rPr>
              <w:t>HLT Health Training Package release 2.0</w:t>
            </w:r>
            <w:r w:rsidRPr="00E12DA7">
              <w:t xml:space="preserve"> and meets the requirements of the 2012 Standards for Training Packages.</w:t>
            </w:r>
          </w:p>
          <w:p w:rsidR="00000000" w:rsidRPr="00E12DA7" w:rsidP="00E12DA7">
            <w:pPr>
              <w:pStyle w:val="BodyText"/>
            </w:pPr>
            <w:r w:rsidRPr="00E12DA7">
              <w:t>Merged HLTAN408/HLTAN506. Significant changes to the elements and performance criteria. New evidence requirements for assessment, including volume and frequency requirements. Signific</w:t>
            </w:r>
            <w:r w:rsidRPr="00E12DA7">
              <w:t>ant change to knowledge evidence.</w:t>
            </w:r>
          </w:p>
        </w:tc>
      </w:tr>
    </w:tbl>
    <w:p w:rsidR="00B25F42" w:rsidP="00E12DA7">
      <w:pPr>
        <w:pStyle w:val="BodyText"/>
      </w:pPr>
    </w:p>
    <w:p w:rsidR="00B25F42" w:rsidP="00E12DA7">
      <w:pPr>
        <w:pStyle w:val="BodyText"/>
      </w:pPr>
    </w:p>
    <w:p w:rsidR="00000000" w:rsidRPr="00E12DA7" w:rsidP="00E12DA7">
      <w:pPr>
        <w:pStyle w:val="Heading1"/>
      </w:pPr>
      <w:bookmarkStart w:id="2" w:name="O_742182"/>
      <w:bookmarkEnd w:id="2"/>
      <w:r w:rsidRPr="00E12DA7">
        <w:t>Performance Evidence</w:t>
      </w:r>
    </w:p>
    <w:p w:rsidR="00000000" w:rsidRPr="00E12DA7" w:rsidP="00B25F42">
      <w:pPr>
        <w:pStyle w:val="BodyText"/>
      </w:pPr>
      <w:r w:rsidRPr="00E12DA7">
        <w:t>The candidate must show evidence of the ability to complete tasks outlined in elements and performance criteria of this unit, manage tasks and manage contingencies in the context of</w:t>
      </w:r>
      <w:r w:rsidRPr="00E12DA7">
        <w:t xml:space="preserve"> the job role. There must be evidence that the candidate has:</w:t>
      </w:r>
    </w:p>
    <w:p w:rsidR="00000000" w:rsidRPr="00E12DA7" w:rsidP="00E12DA7">
      <w:pPr>
        <w:pStyle w:val="ListBullet"/>
      </w:pPr>
      <w:r w:rsidRPr="00E12DA7">
        <w:t xml:space="preserve">followed legislation, industry standards &amp; code of practice, manufacturer’s guidelines and organisation procedures to maintain the standard and supply of anaesthetic equipment and supplies for </w:t>
      </w:r>
      <w:r w:rsidRPr="00E12DA7">
        <w:t>at least one facility, including:</w:t>
      </w:r>
    </w:p>
    <w:p w:rsidR="00000000" w:rsidRPr="00E12DA7" w:rsidP="00E12DA7">
      <w:pPr>
        <w:pStyle w:val="ListBullet2"/>
      </w:pPr>
      <w:r w:rsidRPr="00E12DA7">
        <w:t>routine cleaning and care</w:t>
      </w:r>
    </w:p>
    <w:p w:rsidR="00000000" w:rsidRPr="00E12DA7" w:rsidP="00E12DA7">
      <w:pPr>
        <w:pStyle w:val="ListBullet2"/>
      </w:pPr>
      <w:r w:rsidRPr="00E12DA7">
        <w:t>planned maintenance and servicing</w:t>
      </w:r>
    </w:p>
    <w:p w:rsidR="00000000" w:rsidRPr="00E12DA7" w:rsidP="00E12DA7">
      <w:pPr>
        <w:pStyle w:val="ListBullet2"/>
      </w:pPr>
      <w:r w:rsidRPr="00E12DA7">
        <w:t>arranging repairs</w:t>
      </w:r>
    </w:p>
    <w:p w:rsidR="00000000" w:rsidRPr="00E12DA7" w:rsidP="00E12DA7">
      <w:pPr>
        <w:pStyle w:val="ListBullet2"/>
      </w:pPr>
      <w:r w:rsidRPr="00E12DA7">
        <w:t>testing for functionality and safety, including ANZCA level 2 and level 3 check of the anaesthetic machine</w:t>
      </w:r>
    </w:p>
    <w:p w:rsidR="00000000" w:rsidRPr="00E12DA7" w:rsidP="00E12DA7">
      <w:pPr>
        <w:pStyle w:val="ListBullet"/>
      </w:pPr>
      <w:r w:rsidRPr="00E12DA7">
        <w:t xml:space="preserve">provided in service training on at least one piece of equipment </w:t>
      </w:r>
    </w:p>
    <w:p w:rsidR="00000000" w:rsidRPr="00E12DA7" w:rsidP="00E12DA7">
      <w:pPr>
        <w:pStyle w:val="ListBullet"/>
      </w:pPr>
      <w:r w:rsidRPr="00E12DA7">
        <w:t>evaluated one piece of equipment</w:t>
      </w:r>
    </w:p>
    <w:p w:rsidR="00000000" w:rsidRPr="00E12DA7" w:rsidP="00E12DA7">
      <w:pPr>
        <w:pStyle w:val="AllowPageBreak"/>
      </w:pPr>
    </w:p>
    <w:p w:rsidR="00000000" w:rsidRPr="00E12DA7" w:rsidP="00E12DA7">
      <w:pPr>
        <w:pStyle w:val="Heading1"/>
      </w:pPr>
      <w:bookmarkStart w:id="3" w:name="O_742183"/>
      <w:bookmarkEnd w:id="3"/>
      <w:r w:rsidRPr="00E12DA7">
        <w:t>Knowledge Evidence</w:t>
      </w:r>
    </w:p>
    <w:p w:rsidR="00000000" w:rsidRPr="00E12DA7" w:rsidP="00B25F42">
      <w:pPr>
        <w:pStyle w:val="BodyText"/>
      </w:pPr>
      <w:r w:rsidRPr="00E12DA7">
        <w:t xml:space="preserve">The candidate must be able to demonstrate essential knowledge required to effectively complete tasks outlined in elements </w:t>
      </w:r>
      <w:r w:rsidRPr="00E12DA7">
        <w:t xml:space="preserve">and performance criteria of this unit, manage tasks and manage contingencies in the context of the work role. This includes knowledge of: </w:t>
      </w:r>
    </w:p>
    <w:p w:rsidR="00000000" w:rsidRPr="00E12DA7" w:rsidP="00E12DA7">
      <w:pPr>
        <w:pStyle w:val="ListBullet"/>
      </w:pPr>
      <w:r w:rsidRPr="00E12DA7">
        <w:t>types of anaesthetic equipment and consumables required:</w:t>
      </w:r>
    </w:p>
    <w:p w:rsidR="00000000" w:rsidRPr="00E12DA7" w:rsidP="00E12DA7">
      <w:pPr>
        <w:pStyle w:val="ListBullet2"/>
      </w:pPr>
      <w:r w:rsidRPr="00E12DA7">
        <w:t>medications, forms and other consumables</w:t>
      </w:r>
    </w:p>
    <w:p w:rsidR="00000000" w:rsidRPr="00E12DA7" w:rsidP="00E12DA7">
      <w:pPr>
        <w:pStyle w:val="ListBullet2"/>
      </w:pPr>
      <w:r w:rsidRPr="00E12DA7">
        <w:t>anaesthetic airwa</w:t>
      </w:r>
      <w:r w:rsidRPr="00E12DA7">
        <w:t>y, breathing, infusion monitoring devices</w:t>
      </w:r>
    </w:p>
    <w:p w:rsidR="00000000" w:rsidRPr="00E12DA7" w:rsidP="00E12DA7">
      <w:pPr>
        <w:pStyle w:val="ListBullet2"/>
      </w:pPr>
      <w:r w:rsidRPr="00E12DA7">
        <w:t>emergency equipment</w:t>
      </w:r>
    </w:p>
    <w:p w:rsidR="00000000" w:rsidRPr="00E12DA7" w:rsidP="00E12DA7">
      <w:pPr>
        <w:pStyle w:val="ListBullet2"/>
      </w:pPr>
      <w:r w:rsidRPr="00E12DA7">
        <w:t>non-disposable equipment</w:t>
      </w:r>
    </w:p>
    <w:p w:rsidR="00000000" w:rsidRPr="00E12DA7" w:rsidP="00E12DA7">
      <w:pPr>
        <w:pStyle w:val="ListBullet"/>
      </w:pPr>
      <w:r w:rsidRPr="00E12DA7">
        <w:t>areas that require anaesthesia related equipment and consumables:</w:t>
      </w:r>
    </w:p>
    <w:p w:rsidR="00000000" w:rsidRPr="00E12DA7" w:rsidP="00E12DA7">
      <w:pPr>
        <w:pStyle w:val="ListBullet2"/>
      </w:pPr>
      <w:r w:rsidRPr="00E12DA7">
        <w:t>anaesthetic and emergency trolleys</w:t>
      </w:r>
    </w:p>
    <w:p w:rsidR="00000000" w:rsidRPr="00E12DA7" w:rsidP="00E12DA7">
      <w:pPr>
        <w:pStyle w:val="ListBullet2"/>
      </w:pPr>
      <w:r w:rsidRPr="00E12DA7">
        <w:t>induction room and/or store rooms</w:t>
      </w:r>
    </w:p>
    <w:p w:rsidR="00000000" w:rsidRPr="00E12DA7" w:rsidP="00E12DA7">
      <w:pPr>
        <w:pStyle w:val="ListBullet2"/>
      </w:pPr>
      <w:r w:rsidRPr="00E12DA7">
        <w:t>anaesthetic machines</w:t>
      </w:r>
    </w:p>
    <w:p w:rsidR="00000000" w:rsidRPr="00E12DA7" w:rsidP="00E12DA7">
      <w:pPr>
        <w:pStyle w:val="ListBullet"/>
      </w:pPr>
      <w:r w:rsidRPr="00E12DA7">
        <w:t>set-up &amp; safety checks, principles &amp; limitation of operation, features/functions and safe use of anaesthetic and monitoring equipment, including their service schedule, storage, disassembly and cleaning requirements, including:</w:t>
      </w:r>
    </w:p>
    <w:p w:rsidR="00000000" w:rsidRPr="00E12DA7" w:rsidP="00E12DA7">
      <w:pPr>
        <w:pStyle w:val="ListBullet2"/>
      </w:pPr>
      <w:r w:rsidRPr="00E12DA7">
        <w:t>anaesthetic machine and com</w:t>
      </w:r>
      <w:r w:rsidRPr="00E12DA7">
        <w:t>ponents, including:</w:t>
      </w:r>
    </w:p>
    <w:p w:rsidR="00000000" w:rsidRPr="00E12DA7" w:rsidP="00E12DA7">
      <w:pPr>
        <w:pStyle w:val="ListBullet3"/>
      </w:pPr>
      <w:r w:rsidRPr="00E12DA7">
        <w:t>alarms and measurement devices</w:t>
      </w:r>
    </w:p>
    <w:p w:rsidR="00000000" w:rsidRPr="00E12DA7" w:rsidP="00E12DA7">
      <w:pPr>
        <w:pStyle w:val="ListBullet3"/>
      </w:pPr>
      <w:r w:rsidRPr="00E12DA7">
        <w:t>suction and scavenger</w:t>
      </w:r>
    </w:p>
    <w:p w:rsidR="00000000" w:rsidRPr="00E12DA7" w:rsidP="00E12DA7">
      <w:pPr>
        <w:pStyle w:val="ListBullet3"/>
      </w:pPr>
      <w:r w:rsidRPr="00E12DA7">
        <w:t xml:space="preserve">ventilator </w:t>
      </w:r>
    </w:p>
    <w:p w:rsidR="00000000" w:rsidRPr="00E12DA7" w:rsidP="00E12DA7">
      <w:pPr>
        <w:pStyle w:val="ListBullet3"/>
      </w:pPr>
      <w:r w:rsidRPr="00E12DA7">
        <w:t xml:space="preserve">bulk and local gas supply equipment </w:t>
      </w:r>
    </w:p>
    <w:p w:rsidR="00000000" w:rsidRPr="00E12DA7" w:rsidP="00E12DA7">
      <w:pPr>
        <w:pStyle w:val="ListBullet3"/>
      </w:pPr>
      <w:r w:rsidRPr="00E12DA7">
        <w:t xml:space="preserve">vaporisers </w:t>
      </w:r>
    </w:p>
    <w:p w:rsidR="00000000" w:rsidRPr="00E12DA7" w:rsidP="00E12DA7">
      <w:pPr>
        <w:pStyle w:val="ListBullet2"/>
      </w:pPr>
      <w:r w:rsidRPr="00E12DA7">
        <w:t xml:space="preserve">breathing systems/circuits and attachments </w:t>
      </w:r>
    </w:p>
    <w:p w:rsidR="00000000" w:rsidRPr="00E12DA7" w:rsidP="00E12DA7">
      <w:pPr>
        <w:pStyle w:val="ListBullet2"/>
      </w:pPr>
      <w:r w:rsidRPr="00E12DA7">
        <w:t xml:space="preserve">airway and breathing equipment including: </w:t>
      </w:r>
    </w:p>
    <w:p w:rsidR="00000000" w:rsidRPr="00E12DA7" w:rsidP="00E12DA7">
      <w:pPr>
        <w:pStyle w:val="ListBullet3"/>
      </w:pPr>
      <w:r w:rsidRPr="00E12DA7">
        <w:t xml:space="preserve">fibreoptic, video and other intubation aids </w:t>
      </w:r>
    </w:p>
    <w:p w:rsidR="00000000" w:rsidRPr="00E12DA7" w:rsidP="00E12DA7">
      <w:pPr>
        <w:pStyle w:val="ListBullet3"/>
      </w:pPr>
      <w:r w:rsidRPr="00E12DA7">
        <w:t>consumables</w:t>
      </w:r>
    </w:p>
    <w:p w:rsidR="00000000" w:rsidRPr="00E12DA7" w:rsidP="00E12DA7">
      <w:pPr>
        <w:pStyle w:val="ListBullet3"/>
      </w:pPr>
      <w:r w:rsidRPr="00E12DA7">
        <w:t>breathing circuits and portable ventilators</w:t>
      </w:r>
    </w:p>
    <w:p w:rsidR="00000000" w:rsidRPr="00E12DA7" w:rsidP="00E12DA7">
      <w:pPr>
        <w:pStyle w:val="ListBullet3"/>
      </w:pPr>
      <w:r w:rsidRPr="00E12DA7">
        <w:t>invasive and no-invasive monitoring equipment</w:t>
      </w:r>
    </w:p>
    <w:p w:rsidR="00000000" w:rsidRPr="00E12DA7" w:rsidP="00E12DA7">
      <w:pPr>
        <w:pStyle w:val="ListBullet3"/>
      </w:pPr>
      <w:r w:rsidRPr="00E12DA7">
        <w:t>emergency equipment</w:t>
      </w:r>
    </w:p>
    <w:p w:rsidR="00000000" w:rsidRPr="00E12DA7" w:rsidP="00E12DA7">
      <w:pPr>
        <w:pStyle w:val="ListBullet3"/>
      </w:pPr>
      <w:r w:rsidRPr="00E12DA7">
        <w:t>thermoregulation equipment</w:t>
      </w:r>
    </w:p>
    <w:p w:rsidR="00000000" w:rsidRPr="00E12DA7" w:rsidP="00E12DA7">
      <w:pPr>
        <w:pStyle w:val="ListBullet3"/>
      </w:pPr>
      <w:r w:rsidRPr="00E12DA7">
        <w:t>infusion and rapid infusion equipment</w:t>
      </w:r>
    </w:p>
    <w:p w:rsidR="00000000" w:rsidRPr="00E12DA7" w:rsidP="00E12DA7">
      <w:pPr>
        <w:pStyle w:val="ListBullet3"/>
      </w:pPr>
      <w:r w:rsidRPr="00E12DA7">
        <w:t>tourniquets and exsangui</w:t>
      </w:r>
      <w:r w:rsidRPr="00E12DA7">
        <w:t>nators</w:t>
      </w:r>
    </w:p>
    <w:p w:rsidR="00000000" w:rsidRPr="00E12DA7" w:rsidP="00E12DA7">
      <w:pPr>
        <w:pStyle w:val="ListBullet3"/>
      </w:pPr>
      <w:r w:rsidRPr="00E12DA7">
        <w:t>antithromboembolitic</w:t>
      </w:r>
    </w:p>
    <w:p w:rsidR="00000000" w:rsidRPr="00E12DA7" w:rsidP="00E12DA7">
      <w:pPr>
        <w:pStyle w:val="ListBullet3"/>
      </w:pPr>
      <w:r w:rsidRPr="00E12DA7">
        <w:t>diathermy</w:t>
      </w:r>
    </w:p>
    <w:p w:rsidR="00000000" w:rsidRPr="00E12DA7" w:rsidP="00E12DA7">
      <w:pPr>
        <w:pStyle w:val="ListBullet"/>
      </w:pPr>
      <w:r w:rsidRPr="00E12DA7">
        <w:t>routine problems that occur with different types of equipment and how to rectify within own scope</w:t>
      </w:r>
    </w:p>
    <w:p w:rsidR="00000000" w:rsidRPr="00E12DA7" w:rsidP="00E12DA7">
      <w:pPr>
        <w:pStyle w:val="ListBullet"/>
      </w:pPr>
      <w:r w:rsidRPr="00E12DA7">
        <w:t>principles of physics and measurement as it relates to anaesthetic practice, including:</w:t>
      </w:r>
    </w:p>
    <w:p w:rsidR="00000000" w:rsidRPr="00E12DA7" w:rsidP="00E12DA7">
      <w:pPr>
        <w:pStyle w:val="ListBullet2"/>
      </w:pPr>
      <w:r w:rsidRPr="00E12DA7">
        <w:t>thermodynamics</w:t>
      </w:r>
    </w:p>
    <w:p w:rsidR="00000000" w:rsidRPr="00E12DA7" w:rsidP="00E12DA7">
      <w:pPr>
        <w:pStyle w:val="ListBullet2"/>
      </w:pPr>
      <w:r w:rsidRPr="00E12DA7">
        <w:t>gas laws</w:t>
      </w:r>
    </w:p>
    <w:p w:rsidR="00000000" w:rsidRPr="00E12DA7" w:rsidP="00E12DA7">
      <w:pPr>
        <w:pStyle w:val="ListBullet2"/>
      </w:pPr>
      <w:r w:rsidRPr="00E12DA7">
        <w:t>fluid dynamics</w:t>
      </w:r>
    </w:p>
    <w:p w:rsidR="00000000" w:rsidRPr="00E12DA7" w:rsidP="00E12DA7">
      <w:pPr>
        <w:pStyle w:val="ListBullet2"/>
      </w:pPr>
      <w:r w:rsidRPr="00E12DA7">
        <w:t xml:space="preserve">potentiometry </w:t>
      </w:r>
    </w:p>
    <w:p w:rsidR="00000000" w:rsidRPr="00E12DA7" w:rsidP="00E12DA7">
      <w:pPr>
        <w:pStyle w:val="ListBullet2"/>
      </w:pPr>
      <w:r w:rsidRPr="00E12DA7">
        <w:t>optics</w:t>
      </w:r>
    </w:p>
    <w:p w:rsidR="00000000" w:rsidRPr="00E12DA7" w:rsidP="00E12DA7">
      <w:pPr>
        <w:pStyle w:val="ListBullet2"/>
      </w:pPr>
      <w:r w:rsidRPr="00E12DA7">
        <w:t>transducers</w:t>
      </w:r>
    </w:p>
    <w:p w:rsidR="00000000" w:rsidRPr="00E12DA7" w:rsidP="00E12DA7">
      <w:pPr>
        <w:pStyle w:val="ListBullet2"/>
      </w:pPr>
      <w:r w:rsidRPr="00E12DA7">
        <w:t>vaporisation</w:t>
      </w:r>
    </w:p>
    <w:p w:rsidR="00000000" w:rsidRPr="00E12DA7" w:rsidP="00E12DA7">
      <w:pPr>
        <w:pStyle w:val="ListBullet2"/>
      </w:pPr>
      <w:r w:rsidRPr="00E12DA7">
        <w:t>ultrasound</w:t>
      </w:r>
    </w:p>
    <w:p w:rsidR="00000000" w:rsidRPr="00E12DA7" w:rsidP="00E12DA7">
      <w:pPr>
        <w:pStyle w:val="ListBullet"/>
      </w:pPr>
      <w:r w:rsidRPr="00E12DA7">
        <w:t>basic electronic components and their function</w:t>
      </w:r>
    </w:p>
    <w:p w:rsidR="00000000" w:rsidRPr="00E12DA7" w:rsidP="00E12DA7">
      <w:pPr>
        <w:pStyle w:val="ListBullet"/>
      </w:pPr>
      <w:r w:rsidRPr="00E12DA7">
        <w:t>legal and ethical considerations (national, state/territory) for management of equipment and consumables, and how these are applied in organisations:</w:t>
      </w:r>
    </w:p>
    <w:p w:rsidR="00000000" w:rsidRPr="00E12DA7" w:rsidP="00E12DA7">
      <w:pPr>
        <w:pStyle w:val="ListBullet2"/>
      </w:pPr>
      <w:r w:rsidRPr="00E12DA7">
        <w:t>codes of practice</w:t>
      </w:r>
    </w:p>
    <w:p w:rsidR="00000000" w:rsidRPr="00E12DA7" w:rsidP="00E12DA7">
      <w:pPr>
        <w:pStyle w:val="ListBullet2"/>
      </w:pPr>
      <w:r w:rsidRPr="00E12DA7">
        <w:t>duty of care</w:t>
      </w:r>
    </w:p>
    <w:p w:rsidR="00000000" w:rsidRPr="00E12DA7" w:rsidP="00E12DA7">
      <w:pPr>
        <w:pStyle w:val="ListBullet2"/>
      </w:pPr>
      <w:r w:rsidRPr="00E12DA7">
        <w:t xml:space="preserve">infection prevention and control </w:t>
      </w:r>
    </w:p>
    <w:p w:rsidR="00000000" w:rsidRPr="00E12DA7" w:rsidP="00E12DA7">
      <w:pPr>
        <w:pStyle w:val="ListBullet2"/>
      </w:pPr>
      <w:r w:rsidRPr="00E12DA7">
        <w:t xml:space="preserve">records management </w:t>
      </w:r>
    </w:p>
    <w:p w:rsidR="00000000" w:rsidRPr="00E12DA7" w:rsidP="00E12DA7">
      <w:pPr>
        <w:pStyle w:val="ListBullet2"/>
      </w:pPr>
      <w:r w:rsidRPr="00E12DA7">
        <w:t>rights and responsib</w:t>
      </w:r>
      <w:r w:rsidRPr="00E12DA7">
        <w:t xml:space="preserve">ilities of workers and employers </w:t>
      </w:r>
    </w:p>
    <w:p w:rsidR="00000000" w:rsidRPr="00E12DA7" w:rsidP="00E12DA7">
      <w:pPr>
        <w:pStyle w:val="ListBullet2"/>
      </w:pPr>
      <w:r w:rsidRPr="00E12DA7">
        <w:t>work role boundaries – responsibilities and limitations</w:t>
      </w:r>
    </w:p>
    <w:p w:rsidR="00000000" w:rsidRPr="00E12DA7" w:rsidP="00E12DA7">
      <w:pPr>
        <w:pStyle w:val="ListBullet2"/>
      </w:pPr>
      <w:r w:rsidRPr="00E12DA7">
        <w:t>work health and safety (WHS):</w:t>
      </w:r>
    </w:p>
    <w:p w:rsidR="00000000" w:rsidRPr="00E12DA7" w:rsidP="00E12DA7">
      <w:pPr>
        <w:pStyle w:val="ListBullet3"/>
      </w:pPr>
      <w:r w:rsidRPr="00E12DA7">
        <w:t xml:space="preserve">electrical safety requirements for equipment </w:t>
      </w:r>
    </w:p>
    <w:p w:rsidR="00000000" w:rsidRPr="00E12DA7" w:rsidP="00E12DA7">
      <w:pPr>
        <w:pStyle w:val="ListBullet3"/>
      </w:pPr>
      <w:r w:rsidRPr="00E12DA7">
        <w:t>gas safety</w:t>
      </w:r>
    </w:p>
    <w:p w:rsidR="00000000" w:rsidRPr="00E12DA7" w:rsidP="00E12DA7">
      <w:pPr>
        <w:pStyle w:val="AllowPageBreak"/>
      </w:pPr>
    </w:p>
    <w:p w:rsidR="00000000" w:rsidRPr="00E12DA7" w:rsidP="00E12DA7">
      <w:pPr>
        <w:pStyle w:val="Heading1"/>
      </w:pPr>
      <w:bookmarkStart w:id="4" w:name="O_742184"/>
      <w:bookmarkEnd w:id="4"/>
      <w:r w:rsidRPr="00E12DA7">
        <w:t>Assessment Conditions</w:t>
      </w:r>
    </w:p>
    <w:p w:rsidR="00000000" w:rsidRPr="00E12DA7" w:rsidP="00B25F42">
      <w:pPr>
        <w:pStyle w:val="BodyText"/>
      </w:pPr>
      <w:r w:rsidRPr="00E12DA7">
        <w:t xml:space="preserve">Skills must have been demonstrated in the workplace or in a simulated environment that reflects workplace conditions. The following conditions must be met for this unit: </w:t>
      </w:r>
    </w:p>
    <w:p w:rsidR="00000000" w:rsidRPr="00E12DA7" w:rsidP="00E12DA7">
      <w:pPr>
        <w:pStyle w:val="ListBullet"/>
      </w:pPr>
      <w:r w:rsidRPr="00E12DA7">
        <w:t>use of suitable facilities, equipment and resources, modelling of industry operating</w:t>
      </w:r>
      <w:r w:rsidRPr="00E12DA7">
        <w:t xml:space="preserve"> conditions, including presence of situations requiring problem solving in non-routine situations</w:t>
      </w:r>
    </w:p>
    <w:p w:rsidR="00000000" w:rsidRPr="00E12DA7" w:rsidP="00E12DA7">
      <w:pPr>
        <w:pStyle w:val="BodyText"/>
      </w:pPr>
    </w:p>
    <w:p w:rsidR="00000000" w:rsidRPr="00E12DA7" w:rsidP="00B25F42">
      <w:pPr>
        <w:pStyle w:val="BodyText"/>
      </w:pPr>
      <w:r w:rsidRPr="00E12DA7">
        <w:t>Assessors must satisfy the Standards for Registered Training Organisations (RTOs) 2015/AQTF mandatory competency requirements for assessors.</w:t>
      </w:r>
    </w:p>
    <w:p w:rsidR="00000000" w:rsidRPr="00E12DA7" w:rsidP="00E12DA7">
      <w:pPr>
        <w:pStyle w:val="Heading1"/>
      </w:pPr>
      <w:bookmarkStart w:id="5" w:name="O_742187"/>
      <w:bookmarkEnd w:id="5"/>
      <w:r w:rsidRPr="00E12DA7">
        <w:t>Links</w:t>
      </w:r>
    </w:p>
    <w:p w:rsidR="00000000" w:rsidRPr="00E12DA7" w:rsidP="00B25F42">
      <w:pPr>
        <w:pStyle w:val="BodyText"/>
      </w:pPr>
      <w:r w:rsidRPr="00E12D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855B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12DA7" w:rsidP="00E12DA7"/>
    <w:sectPr w:rsidSect="00E12D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D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DA7" w:rsidRPr="00B25F42" w:rsidP="00B25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D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F42" w:rsidP="00E12D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F42" w:rsidP="00E12D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5F42" w:rsidP="00E12D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D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DA7" w:rsidRPr="00B25F42" w:rsidP="00B25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D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F42" w:rsidRPr="002D2AF8" w:rsidP="00E12D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HLTANA005 Maintain quality and supply of anaesthetic equipment and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25F42" w:rsidP="00E12D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4E1B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5E1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2895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D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D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D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D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D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D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D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D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D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D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D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DA7"/>
  </w:style>
  <w:style w:type="character" w:customStyle="1" w:styleId="Heading1Char">
    <w:name w:val="Heading 1 Char"/>
    <w:basedOn w:val="DefaultParagraphFont"/>
    <w:link w:val="Heading1"/>
    <w:rsid w:val="00E12D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D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D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DA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2DA7"/>
    <w:rPr>
      <w:b/>
      <w:spacing w:val="0"/>
    </w:rPr>
  </w:style>
  <w:style w:type="paragraph" w:styleId="ListBullet2">
    <w:name w:val="List Bullet 2"/>
    <w:basedOn w:val="List2"/>
    <w:rsid w:val="00E12DA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2DA7"/>
    <w:rPr>
      <w:i/>
    </w:rPr>
  </w:style>
  <w:style w:type="paragraph" w:customStyle="1" w:styleId="SuperHeading">
    <w:name w:val="SuperHeading"/>
    <w:basedOn w:val="Normal"/>
    <w:rsid w:val="00E12D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D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12DA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12D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D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D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D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D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D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D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D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D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D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D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D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D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D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D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D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2D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D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D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2D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D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D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D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D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D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D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D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D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2D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D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D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DA7"/>
  </w:style>
  <w:style w:type="paragraph" w:styleId="TableofFigures">
    <w:name w:val="table of figures"/>
    <w:basedOn w:val="Normal"/>
    <w:next w:val="Normal"/>
    <w:semiHidden/>
    <w:rsid w:val="00E12D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DA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12DA7"/>
    <w:rPr>
      <w:rFonts w:ascii="Wingdings" w:hAnsi="Wingdings"/>
    </w:rPr>
  </w:style>
  <w:style w:type="paragraph" w:customStyle="1" w:styleId="TableHeading">
    <w:name w:val="Table Heading"/>
    <w:basedOn w:val="HeadingBase"/>
    <w:rsid w:val="00E12D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DA7"/>
    <w:rPr>
      <w:color w:val="0033CC"/>
      <w:u w:val="none"/>
    </w:rPr>
  </w:style>
  <w:style w:type="paragraph" w:customStyle="1" w:styleId="BodyTextRight">
    <w:name w:val="Body Text Right"/>
    <w:basedOn w:val="BodyText"/>
    <w:rsid w:val="00E12D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D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DA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D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D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D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DA7"/>
    <w:rPr>
      <w:sz w:val="32"/>
    </w:rPr>
  </w:style>
  <w:style w:type="paragraph" w:customStyle="1" w:styleId="HeadingProcedure">
    <w:name w:val="Heading Procedure"/>
    <w:basedOn w:val="HeadingBase"/>
    <w:next w:val="Normal"/>
    <w:rsid w:val="00E12D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DA7"/>
    <w:pPr>
      <w:spacing w:before="60" w:after="60"/>
    </w:pPr>
  </w:style>
  <w:style w:type="paragraph" w:styleId="ListContinue">
    <w:name w:val="List Continue"/>
    <w:basedOn w:val="List"/>
    <w:rsid w:val="00E12DA7"/>
    <w:pPr>
      <w:ind w:firstLine="0"/>
    </w:pPr>
  </w:style>
  <w:style w:type="paragraph" w:customStyle="1" w:styleId="ListNote">
    <w:name w:val="List Note"/>
    <w:basedOn w:val="List"/>
    <w:rsid w:val="00E12D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D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D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DA7"/>
    <w:rPr>
      <w:rFonts w:ascii="Courier New" w:hAnsi="Courier New"/>
    </w:rPr>
  </w:style>
  <w:style w:type="paragraph" w:customStyle="1" w:styleId="NoteBullet">
    <w:name w:val="Note Bullet"/>
    <w:basedOn w:val="Note"/>
    <w:rsid w:val="00E12D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D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D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D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D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12D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D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DA7"/>
    <w:rPr>
      <w:b/>
      <w:smallCaps/>
    </w:rPr>
  </w:style>
  <w:style w:type="paragraph" w:customStyle="1" w:styleId="TableListNumber">
    <w:name w:val="Table List Number"/>
    <w:basedOn w:val="ListNumber"/>
    <w:rsid w:val="00E12D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D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DA7"/>
    <w:pPr>
      <w:numPr>
        <w:numId w:val="10"/>
      </w:numPr>
    </w:pPr>
  </w:style>
  <w:style w:type="paragraph" w:customStyle="1" w:styleId="ListAlpha2">
    <w:name w:val="List Alpha 2"/>
    <w:basedOn w:val="List2"/>
    <w:rsid w:val="00E12DA7"/>
    <w:pPr>
      <w:numPr>
        <w:numId w:val="9"/>
      </w:numPr>
    </w:pPr>
  </w:style>
  <w:style w:type="paragraph" w:styleId="List2">
    <w:name w:val="List 2"/>
    <w:basedOn w:val="BodyText"/>
    <w:rsid w:val="00E12D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D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D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DA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12DA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12DA7"/>
    <w:pPr>
      <w:numPr>
        <w:numId w:val="5"/>
      </w:numPr>
    </w:pPr>
  </w:style>
  <w:style w:type="paragraph" w:styleId="ListContinue2">
    <w:name w:val="List Continue 2"/>
    <w:basedOn w:val="List2"/>
    <w:rsid w:val="00E12DA7"/>
    <w:pPr>
      <w:ind w:firstLine="0"/>
    </w:pPr>
  </w:style>
  <w:style w:type="paragraph" w:styleId="ListContinue3">
    <w:name w:val="List Continue 3"/>
    <w:basedOn w:val="List3"/>
    <w:rsid w:val="00E12DA7"/>
    <w:pPr>
      <w:ind w:left="1021" w:firstLine="0"/>
    </w:pPr>
  </w:style>
  <w:style w:type="paragraph" w:styleId="ListContinue4">
    <w:name w:val="List Continue 4"/>
    <w:basedOn w:val="List4"/>
    <w:rsid w:val="00E12DA7"/>
    <w:pPr>
      <w:ind w:firstLine="0"/>
    </w:pPr>
  </w:style>
  <w:style w:type="paragraph" w:styleId="ListContinue5">
    <w:name w:val="List Continue 5"/>
    <w:basedOn w:val="List5"/>
    <w:rsid w:val="00E12DA7"/>
    <w:pPr>
      <w:ind w:firstLine="0"/>
    </w:pPr>
  </w:style>
  <w:style w:type="paragraph" w:styleId="ListNumber3">
    <w:name w:val="List Number 3"/>
    <w:basedOn w:val="List3"/>
    <w:rsid w:val="00E12DA7"/>
    <w:pPr>
      <w:numPr>
        <w:numId w:val="6"/>
      </w:numPr>
    </w:pPr>
  </w:style>
  <w:style w:type="paragraph" w:styleId="ListNumber4">
    <w:name w:val="List Number 4"/>
    <w:basedOn w:val="List4"/>
    <w:rsid w:val="00E12DA7"/>
    <w:pPr>
      <w:numPr>
        <w:numId w:val="7"/>
      </w:numPr>
    </w:pPr>
  </w:style>
  <w:style w:type="paragraph" w:styleId="ListNumber5">
    <w:name w:val="List Number 5"/>
    <w:basedOn w:val="List5"/>
    <w:rsid w:val="00E12DA7"/>
    <w:pPr>
      <w:numPr>
        <w:numId w:val="8"/>
      </w:numPr>
    </w:pPr>
  </w:style>
  <w:style w:type="paragraph" w:styleId="BlockText">
    <w:name w:val="Block Text"/>
    <w:basedOn w:val="Normal"/>
    <w:rsid w:val="00E12D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D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DA7"/>
    <w:rPr>
      <w:sz w:val="16"/>
      <w:vertAlign w:val="superscript"/>
    </w:rPr>
  </w:style>
  <w:style w:type="character" w:customStyle="1" w:styleId="Symbols">
    <w:name w:val="Symbols"/>
    <w:basedOn w:val="DefaultParagraphFont"/>
    <w:rsid w:val="00E12DA7"/>
    <w:rPr>
      <w:rFonts w:ascii="Symbol" w:hAnsi="Symbol"/>
    </w:rPr>
  </w:style>
  <w:style w:type="character" w:customStyle="1" w:styleId="MenuOptions">
    <w:name w:val="Menu Options"/>
    <w:basedOn w:val="DefaultParagraphFont"/>
    <w:rsid w:val="00E12D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DA7"/>
    <w:rPr>
      <w:b/>
    </w:rPr>
  </w:style>
  <w:style w:type="character" w:customStyle="1" w:styleId="Underlined">
    <w:name w:val="Underlined"/>
    <w:basedOn w:val="DefaultParagraphFont"/>
    <w:rsid w:val="00E12DA7"/>
    <w:rPr>
      <w:u w:val="single"/>
    </w:rPr>
  </w:style>
  <w:style w:type="paragraph" w:customStyle="1" w:styleId="TableBodyTextRight">
    <w:name w:val="Table Body Text Right"/>
    <w:basedOn w:val="TableBodyText"/>
    <w:rsid w:val="00E12D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DA7"/>
    <w:rPr>
      <w:sz w:val="18"/>
    </w:rPr>
  </w:style>
  <w:style w:type="paragraph" w:customStyle="1" w:styleId="BodySmallRight">
    <w:name w:val="Body Small Right"/>
    <w:basedOn w:val="BodyTextRight"/>
    <w:rsid w:val="00E12DA7"/>
    <w:rPr>
      <w:sz w:val="18"/>
      <w:szCs w:val="18"/>
    </w:rPr>
  </w:style>
  <w:style w:type="paragraph" w:customStyle="1" w:styleId="MarginEdition">
    <w:name w:val="Margin Edition"/>
    <w:basedOn w:val="MarginNote"/>
    <w:rsid w:val="00E12D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DA7"/>
    <w:rPr>
      <w:sz w:val="2"/>
      <w:szCs w:val="2"/>
    </w:rPr>
  </w:style>
  <w:style w:type="character" w:customStyle="1" w:styleId="Small">
    <w:name w:val="Small"/>
    <w:basedOn w:val="DefaultParagraphFont"/>
    <w:rsid w:val="00E12DA7"/>
    <w:rPr>
      <w:sz w:val="16"/>
    </w:rPr>
  </w:style>
  <w:style w:type="paragraph" w:customStyle="1" w:styleId="WideTable">
    <w:name w:val="Wide Table"/>
    <w:basedOn w:val="Normal"/>
    <w:rsid w:val="00E12D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DA7"/>
  </w:style>
  <w:style w:type="paragraph" w:styleId="Quote">
    <w:name w:val="Quote"/>
    <w:basedOn w:val="Heading1"/>
    <w:link w:val="QuoteChar"/>
    <w:qFormat/>
    <w:rsid w:val="00E12D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D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DA7"/>
    <w:pPr>
      <w:pageBreakBefore/>
    </w:pPr>
  </w:style>
  <w:style w:type="paragraph" w:customStyle="1" w:styleId="Border">
    <w:name w:val="Border"/>
    <w:basedOn w:val="Normal"/>
    <w:qFormat/>
    <w:rsid w:val="00E12D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D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D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D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D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D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D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D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D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DA7"/>
    <w:rPr>
      <w:u w:val="single"/>
    </w:rPr>
  </w:style>
  <w:style w:type="character" w:customStyle="1" w:styleId="BoldandItalics">
    <w:name w:val="Bold and Italics"/>
    <w:qFormat/>
    <w:rsid w:val="00E12DA7"/>
    <w:rPr>
      <w:b/>
      <w:i/>
      <w:u w:val="none"/>
    </w:rPr>
  </w:style>
  <w:style w:type="paragraph" w:styleId="BalloonText">
    <w:name w:val="Balloon Text"/>
    <w:basedOn w:val="Normal"/>
    <w:link w:val="BalloonTextChar"/>
    <w:rsid w:val="00E12D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D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D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D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D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D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DA7"/>
    <w:pPr>
      <w:spacing w:before="0" w:after="0"/>
    </w:pPr>
  </w:style>
  <w:style w:type="paragraph" w:customStyle="1" w:styleId="BodyTextBold">
    <w:name w:val="Body Text Bold"/>
    <w:basedOn w:val="BodyText"/>
    <w:qFormat/>
    <w:rsid w:val="00E12DA7"/>
    <w:rPr>
      <w:b/>
    </w:rPr>
  </w:style>
  <w:style w:type="character" w:styleId="Hyperlink">
    <w:name w:val="Hyperlink"/>
    <w:basedOn w:val="DefaultParagraphFont"/>
    <w:uiPriority w:val="99"/>
    <w:unhideWhenUsed/>
    <w:rsid w:val="00B25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3861</Characters>
  <Application>Microsoft Office Word</Application>
  <DocSecurity>0</DocSecurity>
  <Lines>113</Lines>
  <Paragraphs>88</Paragraphs>
  <ScaleCrop>false</ScaleCrop>
  <Company>Author-it Software Corporation Ltd.</Company>
  <LinksUpToDate>false</LinksUpToDate>
  <CharactersWithSpaces>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HLTANA005 Maintain quality and supply of anaesthetic equipment and consumables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2022-04-08T09:24:00Z</dcterms:created>
  <dcterms:modified xsi:type="dcterms:W3CDTF">2022-04-08T09:24:00Z</dcterms:modified>
</cp:coreProperties>
</file>