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BEA" w:rsidP="00737BEA">
      <w:pPr>
        <w:pStyle w:val="Title"/>
      </w:pPr>
      <w:r>
        <w:fldChar w:fldCharType="begin"/>
      </w:r>
      <w:r>
        <w:instrText xml:space="preserve"> TITLE   \* MERGEFORMAT </w:instrText>
      </w:r>
      <w:r>
        <w:fldChar w:fldCharType="separate"/>
      </w:r>
      <w:r>
        <w:t>HLTANA004 Respond to anaesthesia related emergencies</w:t>
      </w:r>
      <w:r>
        <w:fldChar w:fldCharType="end"/>
      </w:r>
    </w:p>
    <w:p w:rsidR="00737BEA" w:rsidP="00737BEA">
      <w:pPr>
        <w:pStyle w:val="Version"/>
        <w:sectPr w:rsidSect="00F419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9F6" w:rsidP="00F419F6">
      <w:pPr>
        <w:pStyle w:val="SuperHeading"/>
      </w:pPr>
      <w:r w:rsidRPr="00F419F6">
        <w:t>HLTANA004 Respond to anaesthesia related emergencies</w:t>
      </w:r>
    </w:p>
    <w:p w:rsidR="00000000" w:rsidRPr="00F419F6" w:rsidP="00F419F6">
      <w:pPr>
        <w:pStyle w:val="Heading1"/>
      </w:pPr>
      <w:bookmarkStart w:id="1" w:name="O_742152"/>
      <w:bookmarkEnd w:id="1"/>
      <w:r w:rsidRPr="00F419F6">
        <w:t>Modification History</w:t>
      </w:r>
    </w:p>
    <w:tbl>
      <w:tblPr>
        <w:tblW w:w="0" w:type="auto"/>
        <w:tblLayout w:type="fixed"/>
        <w:tblCellMar>
          <w:left w:w="62" w:type="dxa"/>
          <w:right w:w="62" w:type="dxa"/>
        </w:tblCellMar>
        <w:tblLook w:val="0000"/>
      </w:tblPr>
      <w:tblGrid>
        <w:gridCol w:w="2790"/>
        <w:gridCol w:w="6344"/>
      </w:tblGrid>
      <w:tr w:rsidTr="00F419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9F6" w:rsidP="00F419F6">
            <w:pPr>
              <w:pStyle w:val="BodyText"/>
            </w:pPr>
            <w:r w:rsidRPr="00F419F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9F6">
            <w:pPr>
              <w:pStyle w:val="BodyText"/>
              <w:rPr>
                <w:lang w:val="en-NZ"/>
              </w:rPr>
            </w:pPr>
            <w:r w:rsidRPr="00F419F6">
              <w:rPr>
                <w:rStyle w:val="SpecialBold"/>
              </w:rPr>
              <w:t>Comments</w:t>
            </w:r>
          </w:p>
        </w:tc>
      </w:tr>
      <w:tr w:rsidTr="00F419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9F6">
            <w:pPr>
              <w:pStyle w:val="BodyText"/>
              <w:rPr>
                <w:lang w:val="en-NZ"/>
              </w:rPr>
            </w:pPr>
            <w:r w:rsidRPr="00F419F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9F6" w:rsidP="00F419F6">
            <w:pPr>
              <w:pStyle w:val="BodyText"/>
            </w:pPr>
            <w:r w:rsidRPr="00F419F6">
              <w:t xml:space="preserve">This version was released in </w:t>
            </w:r>
            <w:r w:rsidRPr="00F419F6">
              <w:rPr>
                <w:rStyle w:val="Emphasis"/>
              </w:rPr>
              <w:t>HLT Health Training Package release 2.0</w:t>
            </w:r>
            <w:r w:rsidRPr="00F419F6">
              <w:t xml:space="preserve"> and meets the requirements of the 2012 Standards for Training Packages.</w:t>
            </w:r>
          </w:p>
          <w:p w:rsidR="00000000" w:rsidRPr="00F419F6" w:rsidP="00F419F6">
            <w:pPr>
              <w:pStyle w:val="BodyText"/>
            </w:pPr>
            <w:r w:rsidRPr="00F419F6">
              <w:t>Significant changes to the elements and performance crite</w:t>
            </w:r>
            <w:r w:rsidRPr="00F419F6">
              <w:t>ria. New evidence requirements for assessment, including volume and frequency requirements. Significant change to knowledge evidence.</w:t>
            </w:r>
          </w:p>
        </w:tc>
      </w:tr>
    </w:tbl>
    <w:p w:rsidR="00737BEA" w:rsidP="00F419F6">
      <w:pPr>
        <w:pStyle w:val="BodyText"/>
      </w:pPr>
    </w:p>
    <w:p w:rsidR="00737BEA" w:rsidP="00F419F6">
      <w:pPr>
        <w:pStyle w:val="BodyText"/>
      </w:pPr>
    </w:p>
    <w:p w:rsidR="00000000" w:rsidRPr="00F419F6" w:rsidP="00F419F6">
      <w:pPr>
        <w:pStyle w:val="Heading1"/>
      </w:pPr>
      <w:bookmarkStart w:id="2" w:name="O_742153"/>
      <w:bookmarkEnd w:id="2"/>
      <w:r w:rsidRPr="00F419F6">
        <w:t>Application</w:t>
      </w:r>
    </w:p>
    <w:p w:rsidR="00000000" w:rsidRPr="00F419F6" w:rsidP="00737BEA">
      <w:pPr>
        <w:pStyle w:val="BodyText"/>
      </w:pPr>
      <w:r w:rsidRPr="00F419F6">
        <w:t>This unit describes the skills and knowledge required to recognise signs of client deterio</w:t>
      </w:r>
      <w:r w:rsidRPr="00F419F6">
        <w:t>ration that pose an immediate threat to life and respond appropriately, including the preparation of drugs used in emergency situations.</w:t>
      </w:r>
    </w:p>
    <w:p w:rsidR="00000000" w:rsidRPr="00F419F6" w:rsidP="00737BEA">
      <w:pPr>
        <w:pStyle w:val="BodyText"/>
      </w:pPr>
      <w:r w:rsidRPr="00F419F6">
        <w:t>This unit applies to anaesthetic technicians working under the direction of, and in consultation with, an anaesthetist</w:t>
      </w:r>
      <w:r w:rsidRPr="00F419F6">
        <w:t>/medical officer in any hospital or day surgery setting.</w:t>
      </w:r>
    </w:p>
    <w:p w:rsidR="00000000" w:rsidRPr="00737BEA" w:rsidP="00737BEA">
      <w:pPr>
        <w:pStyle w:val="BodyText"/>
        <w:rPr>
          <w:i/>
        </w:rPr>
      </w:pPr>
      <w:r w:rsidRPr="00737BEA">
        <w:rPr>
          <w:rStyle w:val="Emphasis"/>
        </w:rPr>
        <w:t>The skills in this unit must be applied in accordance with Commonwealth and State/Territory legislation, Australian/New Zealand standards and industry codes of practice.</w:t>
      </w:r>
    </w:p>
    <w:p w:rsidR="00000000" w:rsidRPr="00F419F6" w:rsidP="00F419F6">
      <w:pPr>
        <w:pStyle w:val="Heading1"/>
      </w:pPr>
      <w:bookmarkStart w:id="3" w:name="O_742157"/>
      <w:bookmarkEnd w:id="3"/>
      <w:r w:rsidRPr="00F419F6">
        <w:t>Elements an</w:t>
      </w:r>
      <w:r w:rsidRPr="00F419F6">
        <w:t>d Performance Criteria</w:t>
      </w:r>
    </w:p>
    <w:tbl>
      <w:tblPr>
        <w:tblW w:w="0" w:type="auto"/>
        <w:tblLayout w:type="fixed"/>
        <w:tblCellMar>
          <w:left w:w="62" w:type="dxa"/>
          <w:right w:w="62" w:type="dxa"/>
        </w:tblCellMar>
        <w:tblLook w:val="0000"/>
      </w:tblPr>
      <w:tblGrid>
        <w:gridCol w:w="3261"/>
        <w:gridCol w:w="5703"/>
      </w:tblGrid>
      <w:tr w:rsidTr="00F419F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F419F6">
            <w:pPr>
              <w:pStyle w:val="BodyText"/>
              <w:rPr>
                <w:lang w:val="en-NZ"/>
              </w:rPr>
            </w:pPr>
            <w:r w:rsidRPr="00F419F6">
              <w:t>ELEMENT</w:t>
            </w:r>
          </w:p>
        </w:tc>
        <w:tc>
          <w:tcPr>
            <w:tcW w:w="5703" w:type="dxa"/>
            <w:tcBorders>
              <w:top w:val="nil"/>
              <w:left w:val="nil"/>
              <w:bottom w:val="nil"/>
              <w:right w:val="nil"/>
            </w:tcBorders>
            <w:tcMar>
              <w:top w:w="0" w:type="dxa"/>
              <w:left w:w="62" w:type="dxa"/>
              <w:bottom w:w="0" w:type="dxa"/>
              <w:right w:w="62" w:type="dxa"/>
            </w:tcMar>
          </w:tcPr>
          <w:p w:rsidR="00000000" w:rsidP="00F419F6">
            <w:pPr>
              <w:pStyle w:val="BodyText"/>
              <w:rPr>
                <w:lang w:val="en-NZ"/>
              </w:rPr>
            </w:pPr>
            <w:r w:rsidRPr="00F419F6">
              <w:t>PERFORMANCE CRITERIA</w:t>
            </w:r>
          </w:p>
        </w:tc>
      </w:tr>
      <w:tr w:rsidTr="00F419F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419F6" w:rsidP="00F419F6">
            <w:pPr>
              <w:pStyle w:val="BodyText"/>
            </w:pPr>
            <w:r w:rsidRPr="00F419F6">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F419F6">
            <w:pPr>
              <w:pStyle w:val="BodyText"/>
              <w:rPr>
                <w:lang w:val="en-NZ"/>
              </w:rPr>
            </w:pPr>
            <w:r w:rsidRPr="00F419F6">
              <w:rPr>
                <w:rStyle w:val="Emphasis"/>
              </w:rPr>
              <w:t>Performance criteria describe the performance needed to demonstrate achievement of the element</w:t>
            </w:r>
          </w:p>
        </w:tc>
      </w:tr>
      <w:tr w:rsidTr="00F419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419F6">
            <w:pPr>
              <w:pStyle w:val="BodyText"/>
              <w:rPr>
                <w:lang w:val="en-NZ"/>
              </w:rPr>
            </w:pPr>
            <w:r w:rsidRPr="00F419F6">
              <w:t>1. Recognise clinical emergencies</w:t>
            </w:r>
          </w:p>
        </w:tc>
        <w:tc>
          <w:tcPr>
            <w:tcW w:w="5703" w:type="dxa"/>
            <w:tcBorders>
              <w:top w:val="nil"/>
              <w:left w:val="nil"/>
              <w:bottom w:val="nil"/>
              <w:right w:val="nil"/>
            </w:tcBorders>
            <w:tcMar>
              <w:top w:w="0" w:type="dxa"/>
              <w:left w:w="62" w:type="dxa"/>
              <w:bottom w:w="0" w:type="dxa"/>
              <w:right w:w="62" w:type="dxa"/>
            </w:tcMar>
          </w:tcPr>
          <w:p w:rsidR="00000000" w:rsidRPr="00F419F6" w:rsidP="00F419F6">
            <w:pPr>
              <w:pStyle w:val="BodyText"/>
            </w:pPr>
            <w:r w:rsidRPr="00F419F6">
              <w:t>1.1 Recognise signs of deterioration in clients and immediately report to appropriate clinician</w:t>
            </w:r>
          </w:p>
          <w:p w:rsidR="00000000" w:rsidRPr="00F419F6" w:rsidP="00F419F6">
            <w:pPr>
              <w:pStyle w:val="BodyText"/>
            </w:pPr>
            <w:r w:rsidRPr="00F419F6">
              <w:t>2.1 Monitor, interpret and promptly recognise abnormal equipment readings and immediately report abnormal values to anaesthetist/medical staff</w:t>
            </w:r>
          </w:p>
          <w:p w:rsidR="00000000" w:rsidP="00F419F6">
            <w:pPr>
              <w:pStyle w:val="BodyText"/>
              <w:rPr>
                <w:lang w:val="en-NZ"/>
              </w:rPr>
            </w:pPr>
          </w:p>
        </w:tc>
      </w:tr>
      <w:tr w:rsidTr="00F419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419F6">
            <w:pPr>
              <w:pStyle w:val="BodyText"/>
              <w:rPr>
                <w:lang w:val="en-NZ"/>
              </w:rPr>
            </w:pPr>
            <w:r w:rsidRPr="00F419F6">
              <w:t>2. Respond to c</w:t>
            </w:r>
            <w:r w:rsidRPr="00F419F6">
              <w:t>linical emergencies</w:t>
            </w:r>
          </w:p>
        </w:tc>
        <w:tc>
          <w:tcPr>
            <w:tcW w:w="5703" w:type="dxa"/>
            <w:tcBorders>
              <w:top w:val="nil"/>
              <w:left w:val="nil"/>
              <w:bottom w:val="nil"/>
              <w:right w:val="nil"/>
            </w:tcBorders>
            <w:tcMar>
              <w:top w:w="0" w:type="dxa"/>
              <w:left w:w="62" w:type="dxa"/>
              <w:bottom w:w="0" w:type="dxa"/>
              <w:right w:w="62" w:type="dxa"/>
            </w:tcMar>
          </w:tcPr>
          <w:p w:rsidR="00000000" w:rsidRPr="00F419F6" w:rsidP="00F419F6">
            <w:pPr>
              <w:pStyle w:val="BodyText"/>
            </w:pPr>
            <w:r w:rsidRPr="00F419F6">
              <w:t>2.1 Maintain client’s vital functions pending attendance of medical staff</w:t>
            </w:r>
          </w:p>
          <w:p w:rsidR="00000000" w:rsidRPr="00F419F6" w:rsidP="00F419F6">
            <w:pPr>
              <w:pStyle w:val="BodyText"/>
            </w:pPr>
            <w:r w:rsidRPr="00F419F6">
              <w:t>2.2 Use communication escalation techniques according to organisation procedures</w:t>
            </w:r>
          </w:p>
          <w:p w:rsidR="00000000" w:rsidRPr="00F419F6" w:rsidP="00F419F6">
            <w:pPr>
              <w:pStyle w:val="BodyText"/>
            </w:pPr>
            <w:r w:rsidRPr="00F419F6">
              <w:t>2.3 Promptly obtain emergency equipment and make ready for relevant medical staff</w:t>
            </w:r>
          </w:p>
          <w:p w:rsidR="00000000" w:rsidRPr="00F419F6" w:rsidP="00F419F6">
            <w:pPr>
              <w:pStyle w:val="BodyText"/>
            </w:pPr>
            <w:r w:rsidRPr="00F419F6">
              <w:t>2.4 Assist the anaesthetist/medical staff to perform any emergency procedures under direction</w:t>
            </w:r>
          </w:p>
          <w:p w:rsidR="00000000" w:rsidRPr="00F419F6" w:rsidP="00F419F6">
            <w:pPr>
              <w:pStyle w:val="BodyText"/>
            </w:pPr>
            <w:r w:rsidRPr="00F419F6">
              <w:t xml:space="preserve">2.5 Assist with the medical management of the client and allocate work to other team members according to priority </w:t>
            </w:r>
          </w:p>
          <w:p w:rsidR="00000000" w:rsidP="00F419F6">
            <w:pPr>
              <w:pStyle w:val="BodyText"/>
              <w:rPr>
                <w:lang w:val="en-NZ"/>
              </w:rPr>
            </w:pPr>
          </w:p>
        </w:tc>
      </w:tr>
      <w:tr w:rsidTr="00F419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419F6">
            <w:pPr>
              <w:pStyle w:val="BodyText"/>
              <w:rPr>
                <w:lang w:val="en-NZ"/>
              </w:rPr>
            </w:pPr>
            <w:r w:rsidRPr="00F419F6">
              <w:t>3. Prepare drugs for administ</w:t>
            </w:r>
            <w:r w:rsidRPr="00F419F6">
              <w:t xml:space="preserve">ration in emergency situations </w:t>
            </w:r>
          </w:p>
        </w:tc>
        <w:tc>
          <w:tcPr>
            <w:tcW w:w="5703" w:type="dxa"/>
            <w:tcBorders>
              <w:top w:val="nil"/>
              <w:left w:val="nil"/>
              <w:bottom w:val="nil"/>
              <w:right w:val="nil"/>
            </w:tcBorders>
            <w:tcMar>
              <w:top w:w="0" w:type="dxa"/>
              <w:left w:w="62" w:type="dxa"/>
              <w:bottom w:w="0" w:type="dxa"/>
              <w:right w:w="62" w:type="dxa"/>
            </w:tcMar>
          </w:tcPr>
          <w:p w:rsidR="00000000" w:rsidRPr="00F419F6" w:rsidP="00F419F6">
            <w:pPr>
              <w:pStyle w:val="BodyText"/>
            </w:pPr>
            <w:r w:rsidRPr="00F419F6">
              <w:t xml:space="preserve">3.1 Ensure required drugs, diluents and fluids are to hand </w:t>
            </w:r>
          </w:p>
          <w:p w:rsidR="00000000" w:rsidRPr="00F419F6" w:rsidP="00F419F6">
            <w:pPr>
              <w:pStyle w:val="BodyText"/>
            </w:pPr>
            <w:r w:rsidRPr="00F419F6">
              <w:t xml:space="preserve">3.2 Read expiry date for each drug, diluent or fluid and check it has not been exceeded </w:t>
            </w:r>
          </w:p>
          <w:p w:rsidR="00000000" w:rsidRPr="00F419F6" w:rsidP="00F419F6">
            <w:pPr>
              <w:pStyle w:val="BodyText"/>
            </w:pPr>
            <w:r w:rsidRPr="00F419F6">
              <w:t xml:space="preserve">3.3 Make accurate calculations to prepare drug to correct nature, quantity </w:t>
            </w:r>
            <w:r w:rsidRPr="00F419F6">
              <w:t>and dilution based on medical officer requirements</w:t>
            </w:r>
          </w:p>
          <w:p w:rsidR="00000000" w:rsidRPr="00F419F6" w:rsidP="00F419F6">
            <w:pPr>
              <w:pStyle w:val="BodyText"/>
            </w:pPr>
            <w:r w:rsidRPr="00F419F6">
              <w:t>3.4 Check drugs with an authorised person prior to and after mixing</w:t>
            </w:r>
          </w:p>
          <w:p w:rsidR="00000000" w:rsidRPr="00F419F6" w:rsidP="00F419F6">
            <w:pPr>
              <w:pStyle w:val="BodyText"/>
            </w:pPr>
            <w:r w:rsidRPr="00F419F6">
              <w:t>3.5 Use correct equipment and maintain sterility of drug and diluent</w:t>
            </w:r>
          </w:p>
          <w:p w:rsidR="00000000" w:rsidRPr="00F419F6" w:rsidP="00F419F6">
            <w:pPr>
              <w:pStyle w:val="BodyText"/>
            </w:pPr>
            <w:r w:rsidRPr="00F419F6">
              <w:t>3.6 Check final drug dilution with anaesthetist or medical officer</w:t>
            </w:r>
          </w:p>
          <w:p w:rsidR="00000000" w:rsidRPr="00F419F6" w:rsidP="00F419F6">
            <w:pPr>
              <w:pStyle w:val="BodyText"/>
            </w:pPr>
            <w:r w:rsidRPr="00F419F6">
              <w:t>3</w:t>
            </w:r>
            <w:r w:rsidRPr="00F419F6">
              <w:t xml:space="preserve">.7 Administer drugs under the direction and supervision of the anaesthetist </w:t>
            </w:r>
          </w:p>
          <w:p w:rsidR="00000000" w:rsidRPr="00F419F6" w:rsidP="00F419F6">
            <w:pPr>
              <w:pStyle w:val="BodyText"/>
            </w:pPr>
            <w:r w:rsidRPr="00F419F6">
              <w:t>3.8 Complete medication documentation in accordance with organisation policies and procedures</w:t>
            </w:r>
          </w:p>
          <w:p w:rsidR="00000000" w:rsidP="00F419F6">
            <w:pPr>
              <w:pStyle w:val="BodyText"/>
              <w:rPr>
                <w:lang w:val="en-NZ"/>
              </w:rPr>
            </w:pPr>
          </w:p>
        </w:tc>
      </w:tr>
      <w:tr w:rsidTr="00F419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419F6">
            <w:pPr>
              <w:pStyle w:val="BodyText"/>
              <w:rPr>
                <w:lang w:val="en-NZ"/>
              </w:rPr>
            </w:pPr>
            <w:r w:rsidRPr="00F419F6">
              <w:t>4. Finalise emergency procedures</w:t>
            </w:r>
          </w:p>
        </w:tc>
        <w:tc>
          <w:tcPr>
            <w:tcW w:w="5703" w:type="dxa"/>
            <w:tcBorders>
              <w:top w:val="nil"/>
              <w:left w:val="nil"/>
              <w:bottom w:val="nil"/>
              <w:right w:val="nil"/>
            </w:tcBorders>
            <w:tcMar>
              <w:top w:w="0" w:type="dxa"/>
              <w:left w:w="62" w:type="dxa"/>
              <w:bottom w:w="0" w:type="dxa"/>
              <w:right w:w="62" w:type="dxa"/>
            </w:tcMar>
          </w:tcPr>
          <w:p w:rsidR="00000000" w:rsidRPr="00F419F6" w:rsidP="00F419F6">
            <w:pPr>
              <w:pStyle w:val="BodyText"/>
            </w:pPr>
            <w:r w:rsidRPr="00F419F6">
              <w:t>4.1 Document accurate and complete record of emerg</w:t>
            </w:r>
            <w:r w:rsidRPr="00F419F6">
              <w:t>ency situation and actions taken according to scope of own role</w:t>
            </w:r>
          </w:p>
          <w:p w:rsidR="00000000" w:rsidRPr="00F419F6" w:rsidP="00F419F6">
            <w:pPr>
              <w:pStyle w:val="BodyText"/>
            </w:pPr>
            <w:r w:rsidRPr="00F419F6">
              <w:t xml:space="preserve">4.2 Participate in emergency de-brief according to </w:t>
            </w:r>
            <w:r w:rsidRPr="00F419F6">
              <w:t>organisation procedures</w:t>
            </w:r>
          </w:p>
          <w:p w:rsidR="00000000" w:rsidRPr="00F419F6" w:rsidP="00F419F6">
            <w:pPr>
              <w:pStyle w:val="BodyText"/>
            </w:pPr>
            <w:r w:rsidRPr="00F419F6">
              <w:t>4.3 Review own role in emergency and identify potential actions to support future improvement</w:t>
            </w:r>
          </w:p>
          <w:p w:rsidR="00000000" w:rsidRPr="00F419F6" w:rsidP="00F419F6">
            <w:pPr>
              <w:pStyle w:val="BodyText"/>
            </w:pPr>
          </w:p>
        </w:tc>
      </w:tr>
    </w:tbl>
    <w:p w:rsidR="00737BEA" w:rsidP="00F419F6">
      <w:pPr>
        <w:pStyle w:val="BodyText"/>
      </w:pPr>
    </w:p>
    <w:p w:rsidR="00737BEA" w:rsidP="00F419F6">
      <w:pPr>
        <w:pStyle w:val="BodyText"/>
      </w:pPr>
    </w:p>
    <w:p w:rsidR="00000000" w:rsidRPr="00F419F6" w:rsidP="00F419F6">
      <w:pPr>
        <w:pStyle w:val="Heading1"/>
      </w:pPr>
      <w:bookmarkStart w:id="4" w:name="O_742158"/>
      <w:bookmarkEnd w:id="4"/>
      <w:r w:rsidRPr="00F419F6">
        <w:t>Foundation Skills</w:t>
      </w:r>
    </w:p>
    <w:tbl>
      <w:tblPr>
        <w:tblW w:w="0" w:type="auto"/>
        <w:tblLayout w:type="fixed"/>
        <w:tblCellMar>
          <w:left w:w="62" w:type="dxa"/>
          <w:right w:w="62" w:type="dxa"/>
        </w:tblCellMar>
        <w:tblLook w:val="0000"/>
      </w:tblPr>
      <w:tblGrid>
        <w:gridCol w:w="8931"/>
      </w:tblGrid>
      <w:tr w:rsidTr="00F419F6">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F419F6">
            <w:pPr>
              <w:pStyle w:val="BodyText"/>
              <w:rPr>
                <w:lang w:val="en-NZ"/>
              </w:rPr>
            </w:pPr>
            <w:r w:rsidRPr="00F419F6">
              <w:rPr>
                <w:rStyle w:val="Emphasis"/>
              </w:rPr>
              <w:t xml:space="preserve">The Foundation Skills describe those required skills (language, literacy, numeracy and employment </w:t>
            </w:r>
            <w:r w:rsidRPr="00F419F6">
              <w:t xml:space="preserve">skills) that are essential </w:t>
            </w:r>
            <w:r w:rsidRPr="00F419F6">
              <w:rPr>
                <w:rStyle w:val="Emphasis"/>
              </w:rPr>
              <w:t>to performance.</w:t>
            </w:r>
          </w:p>
        </w:tc>
      </w:tr>
      <w:tr w:rsidTr="00F419F6">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RPr="00F419F6" w:rsidP="00F419F6">
            <w:pPr>
              <w:pStyle w:val="BodyText"/>
            </w:pPr>
          </w:p>
          <w:p w:rsidR="00000000" w:rsidRPr="00F419F6" w:rsidP="00F419F6">
            <w:pPr>
              <w:pStyle w:val="BodyText"/>
            </w:pPr>
            <w:r w:rsidRPr="00F419F6">
              <w:t>Foundation skills essential to performance are explicit in the performance criteria of this uni</w:t>
            </w:r>
            <w:r w:rsidRPr="00F419F6">
              <w:t xml:space="preserve">t. </w:t>
            </w:r>
          </w:p>
        </w:tc>
      </w:tr>
    </w:tbl>
    <w:p w:rsidR="00737BEA" w:rsidP="00F419F6">
      <w:pPr>
        <w:pStyle w:val="BodyText"/>
      </w:pPr>
    </w:p>
    <w:p w:rsidR="00737BEA" w:rsidP="00F419F6">
      <w:pPr>
        <w:pStyle w:val="BodyText"/>
      </w:pPr>
    </w:p>
    <w:p w:rsidR="00000000" w:rsidRPr="00F419F6" w:rsidP="00F419F6">
      <w:pPr>
        <w:pStyle w:val="Heading1"/>
      </w:pPr>
      <w:bookmarkStart w:id="5" w:name="O_742160"/>
      <w:bookmarkEnd w:id="5"/>
      <w:r w:rsidRPr="00F419F6">
        <w:t>Unit Mapping Information</w:t>
      </w:r>
    </w:p>
    <w:p w:rsidR="00000000" w:rsidRPr="00F419F6" w:rsidP="00737BEA">
      <w:pPr>
        <w:pStyle w:val="BodyText"/>
      </w:pPr>
      <w:r w:rsidRPr="00F419F6">
        <w:t xml:space="preserve">No equivalent unit. </w:t>
      </w:r>
    </w:p>
    <w:p w:rsidR="00000000" w:rsidRPr="00F419F6" w:rsidP="00F419F6">
      <w:pPr>
        <w:pStyle w:val="Heading1"/>
      </w:pPr>
      <w:bookmarkStart w:id="6" w:name="O_742167"/>
      <w:bookmarkEnd w:id="6"/>
      <w:r w:rsidRPr="00F419F6">
        <w:t>Links</w:t>
      </w:r>
    </w:p>
    <w:p w:rsidR="00000000" w:rsidRPr="00F419F6" w:rsidP="00737BEA">
      <w:pPr>
        <w:pStyle w:val="BodyText"/>
      </w:pPr>
      <w:r w:rsidRPr="00F419F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44047">
        <w:rPr>
          <w:rStyle w:val="Hyperlink"/>
        </w:rPr>
        <w:t>https://vetnet.gov.au/Pages/TrainingDocs.aspx?q=ced1390f-48d9-4ab0-bd50-b015e5485705</w:t>
      </w:r>
      <w:r>
        <w:fldChar w:fldCharType="end"/>
      </w:r>
    </w:p>
    <w:p w:rsidR="00000000" w:rsidRPr="00F419F6" w:rsidP="00737BEA">
      <w:pPr>
        <w:pStyle w:val="BodyText"/>
        <w:sectPr w:rsidSect="00F419F6">
          <w:headerReference w:type="default" r:id="rId10"/>
          <w:footerReference w:type="default" r:id="rId11"/>
          <w:pgSz w:w="11908" w:h="16833"/>
          <w:pgMar w:top="1702" w:right="1418" w:bottom="1702" w:left="1418" w:header="992" w:footer="992" w:gutter="0"/>
          <w:cols w:space="720"/>
          <w:noEndnote/>
          <w:docGrid w:linePitch="299"/>
        </w:sectPr>
      </w:pPr>
    </w:p>
    <w:p w:rsidR="00000000" w:rsidRPr="00F419F6" w:rsidP="00F419F6">
      <w:pPr>
        <w:pStyle w:val="SuperHeading"/>
      </w:pPr>
      <w:r w:rsidRPr="00F419F6">
        <w:t>Assessment Requirements for HLTANA004 Respond to anaesthesia related emergencies</w:t>
      </w:r>
    </w:p>
    <w:p w:rsidR="00000000" w:rsidRPr="00F419F6" w:rsidP="00F419F6">
      <w:pPr>
        <w:pStyle w:val="Heading1"/>
      </w:pPr>
      <w:bookmarkStart w:id="7" w:name="O_742162"/>
      <w:bookmarkEnd w:id="7"/>
      <w:r w:rsidRPr="00F419F6">
        <w:t>Modification History</w:t>
      </w:r>
    </w:p>
    <w:tbl>
      <w:tblPr>
        <w:tblW w:w="0" w:type="auto"/>
        <w:tblLayout w:type="fixed"/>
        <w:tblCellMar>
          <w:left w:w="62" w:type="dxa"/>
          <w:right w:w="62" w:type="dxa"/>
        </w:tblCellMar>
        <w:tblLook w:val="0000"/>
      </w:tblPr>
      <w:tblGrid>
        <w:gridCol w:w="2790"/>
        <w:gridCol w:w="6344"/>
      </w:tblGrid>
      <w:tr w:rsidTr="00F419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9F6" w:rsidP="00F419F6">
            <w:pPr>
              <w:pStyle w:val="BodyText"/>
            </w:pPr>
            <w:r w:rsidRPr="00F419F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9F6">
            <w:pPr>
              <w:pStyle w:val="BodyText"/>
              <w:rPr>
                <w:lang w:val="en-NZ"/>
              </w:rPr>
            </w:pPr>
            <w:r w:rsidRPr="00F419F6">
              <w:rPr>
                <w:rStyle w:val="SpecialBold"/>
              </w:rPr>
              <w:t>Comments</w:t>
            </w:r>
          </w:p>
        </w:tc>
      </w:tr>
      <w:tr w:rsidTr="00F419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9F6">
            <w:pPr>
              <w:pStyle w:val="BodyText"/>
              <w:rPr>
                <w:lang w:val="en-NZ"/>
              </w:rPr>
            </w:pPr>
            <w:r w:rsidRPr="00F419F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9F6" w:rsidP="00F419F6">
            <w:pPr>
              <w:pStyle w:val="BodyText"/>
            </w:pPr>
            <w:r w:rsidRPr="00F419F6">
              <w:t xml:space="preserve">This version was released in </w:t>
            </w:r>
            <w:r w:rsidRPr="00F419F6">
              <w:rPr>
                <w:rStyle w:val="Emphasis"/>
              </w:rPr>
              <w:t>HLT Health Training Package release 2.0</w:t>
            </w:r>
            <w:r w:rsidRPr="00F419F6">
              <w:t xml:space="preserve"> and meets the requirements of the 2012 Standards for Training Packages.</w:t>
            </w:r>
          </w:p>
          <w:p w:rsidR="00000000" w:rsidRPr="00F419F6" w:rsidP="00F419F6">
            <w:pPr>
              <w:pStyle w:val="BodyText"/>
            </w:pPr>
            <w:r w:rsidRPr="00F419F6">
              <w:t>Significant changes to the elements and performance criteria. New evidence requirements for assessment, including volume and frequency requireme</w:t>
            </w:r>
            <w:r w:rsidRPr="00F419F6">
              <w:t>nts. Significant change to knowledge evidence.</w:t>
            </w:r>
          </w:p>
        </w:tc>
      </w:tr>
    </w:tbl>
    <w:p w:rsidR="00737BEA" w:rsidP="00F419F6">
      <w:pPr>
        <w:pStyle w:val="BodyText"/>
      </w:pPr>
    </w:p>
    <w:p w:rsidR="00737BEA" w:rsidP="00F419F6">
      <w:pPr>
        <w:pStyle w:val="BodyText"/>
      </w:pPr>
    </w:p>
    <w:p w:rsidR="00000000" w:rsidRPr="00F419F6" w:rsidP="00F419F6">
      <w:pPr>
        <w:pStyle w:val="Heading1"/>
      </w:pPr>
      <w:bookmarkStart w:id="8" w:name="O_742163"/>
      <w:bookmarkEnd w:id="8"/>
      <w:r w:rsidRPr="00F419F6">
        <w:t>Performance Evidence</w:t>
      </w:r>
    </w:p>
    <w:p w:rsidR="00000000" w:rsidRPr="00F419F6" w:rsidP="00737BEA">
      <w:pPr>
        <w:pStyle w:val="BodyText"/>
      </w:pPr>
      <w:r w:rsidRPr="00F419F6">
        <w:t xml:space="preserve">The candidate must show evidence of the ability to complete tasks outlined in elements and performance criteria of this unit, manage tasks and manage contingencies </w:t>
      </w:r>
      <w:r w:rsidRPr="00F419F6">
        <w:t>in the context of the job role. There must be evidence that the candidate has:</w:t>
      </w:r>
    </w:p>
    <w:p w:rsidR="00000000" w:rsidRPr="00F419F6" w:rsidP="00F419F6">
      <w:pPr>
        <w:pStyle w:val="ListBullet"/>
      </w:pPr>
      <w:r w:rsidRPr="00F419F6">
        <w:t>determined and actioned response to diverse emergency situations, including:</w:t>
      </w:r>
    </w:p>
    <w:p w:rsidR="00000000" w:rsidRPr="00F419F6" w:rsidP="00F419F6">
      <w:pPr>
        <w:pStyle w:val="ListBullet2"/>
      </w:pPr>
      <w:r w:rsidRPr="00F419F6">
        <w:t>respiratory/ airway emergencies:</w:t>
      </w:r>
    </w:p>
    <w:p w:rsidR="00000000" w:rsidRPr="00F419F6" w:rsidP="00F419F6">
      <w:pPr>
        <w:pStyle w:val="ListBullet3"/>
      </w:pPr>
      <w:r w:rsidRPr="00F419F6">
        <w:t>difficult/compromised airway</w:t>
      </w:r>
    </w:p>
    <w:p w:rsidR="00000000" w:rsidRPr="00F419F6" w:rsidP="00F419F6">
      <w:pPr>
        <w:pStyle w:val="ListBullet3"/>
      </w:pPr>
      <w:r w:rsidRPr="00F419F6">
        <w:t>can’t intubate can’t ventilate</w:t>
      </w:r>
    </w:p>
    <w:p w:rsidR="00000000" w:rsidRPr="00F419F6" w:rsidP="00F419F6">
      <w:pPr>
        <w:pStyle w:val="ListBullet3"/>
      </w:pPr>
      <w:r w:rsidRPr="00F419F6">
        <w:t xml:space="preserve">bronchospasm </w:t>
      </w:r>
    </w:p>
    <w:p w:rsidR="00000000" w:rsidRPr="00F419F6" w:rsidP="00F419F6">
      <w:pPr>
        <w:pStyle w:val="ListBullet3"/>
      </w:pPr>
      <w:r w:rsidRPr="00F419F6">
        <w:t xml:space="preserve">pneumothorax </w:t>
      </w:r>
    </w:p>
    <w:p w:rsidR="00000000" w:rsidRPr="00F419F6" w:rsidP="00F419F6">
      <w:pPr>
        <w:pStyle w:val="ListBullet3"/>
      </w:pPr>
      <w:r w:rsidRPr="00F419F6">
        <w:t>laryngospasm</w:t>
      </w:r>
    </w:p>
    <w:p w:rsidR="00000000" w:rsidRPr="00F419F6" w:rsidP="00F419F6">
      <w:pPr>
        <w:pStyle w:val="ListBullet3"/>
      </w:pPr>
      <w:r w:rsidRPr="00F419F6">
        <w:t>aspiration</w:t>
      </w:r>
    </w:p>
    <w:p w:rsidR="00000000" w:rsidRPr="00F419F6" w:rsidP="00F419F6">
      <w:pPr>
        <w:pStyle w:val="ListBullet3"/>
      </w:pPr>
      <w:r w:rsidRPr="00F419F6">
        <w:t>suxamethonium apnoea</w:t>
      </w:r>
    </w:p>
    <w:p w:rsidR="00000000" w:rsidRPr="00F419F6" w:rsidP="00F419F6">
      <w:pPr>
        <w:pStyle w:val="ListBullet3"/>
      </w:pPr>
      <w:r w:rsidRPr="00F419F6">
        <w:t>hypoxia/hypoxaemia</w:t>
      </w:r>
    </w:p>
    <w:p w:rsidR="00000000" w:rsidRPr="00F419F6" w:rsidP="00F419F6">
      <w:pPr>
        <w:pStyle w:val="ListBullet3"/>
      </w:pPr>
      <w:r w:rsidRPr="00F419F6">
        <w:t>hypercarbia</w:t>
      </w:r>
    </w:p>
    <w:p w:rsidR="00000000" w:rsidRPr="00F419F6" w:rsidP="00F419F6">
      <w:pPr>
        <w:pStyle w:val="ListBullet2"/>
      </w:pPr>
      <w:r w:rsidRPr="00F419F6">
        <w:t>cardiac emergencies:</w:t>
      </w:r>
    </w:p>
    <w:p w:rsidR="00000000" w:rsidRPr="00F419F6" w:rsidP="00F419F6">
      <w:pPr>
        <w:pStyle w:val="ListBullet3"/>
      </w:pPr>
      <w:r w:rsidRPr="00F419F6">
        <w:t>ventricular fibrillation</w:t>
      </w:r>
    </w:p>
    <w:p w:rsidR="00000000" w:rsidRPr="00F419F6" w:rsidP="00F419F6">
      <w:pPr>
        <w:pStyle w:val="ListBullet3"/>
      </w:pPr>
      <w:r w:rsidRPr="00F419F6">
        <w:t>ventricular tachycardia</w:t>
      </w:r>
    </w:p>
    <w:p w:rsidR="00000000" w:rsidRPr="00F419F6" w:rsidP="00F419F6">
      <w:pPr>
        <w:pStyle w:val="ListBullet3"/>
      </w:pPr>
      <w:r w:rsidRPr="00F419F6">
        <w:t>pulseless electrical activity</w:t>
      </w:r>
    </w:p>
    <w:p w:rsidR="00000000" w:rsidRPr="00F419F6" w:rsidP="00F419F6">
      <w:pPr>
        <w:pStyle w:val="ListBullet3"/>
      </w:pPr>
      <w:r w:rsidRPr="00F419F6">
        <w:t>asystole</w:t>
      </w:r>
    </w:p>
    <w:p w:rsidR="00000000" w:rsidRPr="00F419F6" w:rsidP="00F419F6">
      <w:pPr>
        <w:pStyle w:val="ListBullet3"/>
      </w:pPr>
      <w:r w:rsidRPr="00F419F6">
        <w:t>third degree heart block</w:t>
      </w:r>
    </w:p>
    <w:p w:rsidR="00000000" w:rsidRPr="00F419F6" w:rsidP="00F419F6">
      <w:pPr>
        <w:pStyle w:val="ListBullet3"/>
      </w:pPr>
      <w:r w:rsidRPr="00F419F6">
        <w:t>cardiac arrhythmias which pose threat to life for individual clients</w:t>
      </w:r>
    </w:p>
    <w:p w:rsidR="00000000" w:rsidRPr="00F419F6" w:rsidP="00F419F6">
      <w:pPr>
        <w:pStyle w:val="ListBullet3"/>
      </w:pPr>
      <w:r w:rsidRPr="00F419F6">
        <w:t>perioperative myocardial infarcts</w:t>
      </w:r>
    </w:p>
    <w:p w:rsidR="00000000" w:rsidRPr="00F419F6" w:rsidP="00F419F6">
      <w:pPr>
        <w:pStyle w:val="ListBullet3"/>
      </w:pPr>
      <w:r w:rsidRPr="00F419F6">
        <w:t>cardiac tamponade</w:t>
      </w:r>
    </w:p>
    <w:p w:rsidR="00000000" w:rsidRPr="00F419F6" w:rsidP="00F419F6">
      <w:pPr>
        <w:pStyle w:val="ListBullet2"/>
      </w:pPr>
      <w:r w:rsidRPr="00F419F6">
        <w:t>malignant hyperthermia</w:t>
      </w:r>
    </w:p>
    <w:p w:rsidR="00000000" w:rsidRPr="00F419F6" w:rsidP="00F419F6">
      <w:pPr>
        <w:pStyle w:val="ListBullet2"/>
      </w:pPr>
      <w:r w:rsidRPr="00F419F6">
        <w:t>hypothermia</w:t>
      </w:r>
    </w:p>
    <w:p w:rsidR="00000000" w:rsidRPr="00F419F6" w:rsidP="00F419F6">
      <w:pPr>
        <w:pStyle w:val="ListBullet2"/>
      </w:pPr>
      <w:r w:rsidRPr="00F419F6">
        <w:t>hypovolaemic shock/massive blood loss</w:t>
      </w:r>
    </w:p>
    <w:p w:rsidR="00000000" w:rsidRPr="00F419F6" w:rsidP="00F419F6">
      <w:pPr>
        <w:pStyle w:val="ListBullet2"/>
      </w:pPr>
      <w:r w:rsidRPr="00F419F6">
        <w:t>severe hypotension</w:t>
      </w:r>
    </w:p>
    <w:p w:rsidR="00000000" w:rsidRPr="00F419F6" w:rsidP="00F419F6">
      <w:pPr>
        <w:pStyle w:val="ListBullet2"/>
      </w:pPr>
      <w:r w:rsidRPr="00F419F6">
        <w:t>severe hypertension</w:t>
      </w:r>
    </w:p>
    <w:p w:rsidR="00000000" w:rsidRPr="00F419F6" w:rsidP="00F419F6">
      <w:pPr>
        <w:pStyle w:val="ListBullet2"/>
      </w:pPr>
      <w:r w:rsidRPr="00F419F6">
        <w:t>pulmonary hypertension</w:t>
      </w:r>
    </w:p>
    <w:p w:rsidR="00000000" w:rsidRPr="00F419F6" w:rsidP="00F419F6">
      <w:pPr>
        <w:pStyle w:val="ListBullet2"/>
      </w:pPr>
      <w:r w:rsidRPr="00F419F6">
        <w:t xml:space="preserve">anaphylactic shock </w:t>
      </w:r>
    </w:p>
    <w:p w:rsidR="00000000" w:rsidRPr="00F419F6" w:rsidP="00F419F6">
      <w:pPr>
        <w:pStyle w:val="ListBullet2"/>
      </w:pPr>
      <w:r w:rsidRPr="00F419F6">
        <w:t>thromboembolism or pulmonary embolism – fat, thrombus, air/gas, amniotic fluid</w:t>
      </w:r>
    </w:p>
    <w:p w:rsidR="00000000" w:rsidRPr="00F419F6" w:rsidP="00F419F6">
      <w:pPr>
        <w:pStyle w:val="ListBullet2"/>
      </w:pPr>
      <w:r w:rsidRPr="00F419F6">
        <w:t>pulmonary oedema &amp; negative pressure pulmonary oedema</w:t>
      </w:r>
    </w:p>
    <w:p w:rsidR="00000000" w:rsidRPr="00F419F6" w:rsidP="00F419F6">
      <w:pPr>
        <w:pStyle w:val="ListBullet2"/>
      </w:pPr>
      <w:r w:rsidRPr="00F419F6">
        <w:t>local anaesthetic toxicity</w:t>
      </w:r>
    </w:p>
    <w:p w:rsidR="00000000" w:rsidRPr="00F419F6" w:rsidP="00F419F6">
      <w:pPr>
        <w:pStyle w:val="ListBullet2"/>
      </w:pPr>
      <w:r w:rsidRPr="00F419F6">
        <w:t>total spinal</w:t>
      </w:r>
    </w:p>
    <w:p w:rsidR="00000000" w:rsidRPr="00F419F6" w:rsidP="00F419F6">
      <w:pPr>
        <w:pStyle w:val="ListBullet2"/>
      </w:pPr>
      <w:r w:rsidRPr="00F419F6">
        <w:t>metabolic and endocrine abnormalities</w:t>
      </w:r>
    </w:p>
    <w:p w:rsidR="00000000" w:rsidRPr="00F419F6" w:rsidP="00F419F6">
      <w:pPr>
        <w:pStyle w:val="ListBullet2"/>
      </w:pPr>
      <w:r w:rsidRPr="00F419F6">
        <w:t xml:space="preserve">drug administration error and adverse drug reaction  </w:t>
      </w:r>
    </w:p>
    <w:p w:rsidR="00000000" w:rsidRPr="00F419F6" w:rsidP="00F419F6">
      <w:pPr>
        <w:pStyle w:val="ListBullet2"/>
      </w:pPr>
      <w:r w:rsidRPr="00F419F6">
        <w:t>septic shower</w:t>
      </w:r>
    </w:p>
    <w:p w:rsidR="00000000" w:rsidRPr="00F419F6" w:rsidP="00F419F6">
      <w:pPr>
        <w:pStyle w:val="ListBullet"/>
      </w:pPr>
      <w:r w:rsidRPr="00F419F6">
        <w:t>followed established procedures for use of emergency equipment/ consumables, including:</w:t>
      </w:r>
    </w:p>
    <w:p w:rsidR="00000000" w:rsidRPr="00F419F6" w:rsidP="00F419F6">
      <w:pPr>
        <w:pStyle w:val="ListBullet2"/>
      </w:pPr>
      <w:r w:rsidRPr="00F419F6">
        <w:t xml:space="preserve">difficult airway trolley and other airway and suction equipment </w:t>
      </w:r>
    </w:p>
    <w:p w:rsidR="00000000" w:rsidRPr="00F419F6" w:rsidP="00F419F6">
      <w:pPr>
        <w:pStyle w:val="ListBullet2"/>
      </w:pPr>
      <w:r w:rsidRPr="00F419F6">
        <w:t>cardiac arrest trolley and defibr</w:t>
      </w:r>
      <w:r w:rsidRPr="00F419F6">
        <w:t>illator</w:t>
      </w:r>
    </w:p>
    <w:p w:rsidR="00000000" w:rsidRPr="00F419F6" w:rsidP="00F419F6">
      <w:pPr>
        <w:pStyle w:val="ListBullet2"/>
      </w:pPr>
      <w:r w:rsidRPr="00F419F6">
        <w:t>heating/cooling equipment</w:t>
      </w:r>
    </w:p>
    <w:p w:rsidR="00000000" w:rsidRPr="00F419F6" w:rsidP="00F419F6">
      <w:pPr>
        <w:pStyle w:val="ListBullet2"/>
      </w:pPr>
      <w:r w:rsidRPr="00F419F6">
        <w:t>infusion/transfusion equipment</w:t>
      </w:r>
    </w:p>
    <w:p w:rsidR="00000000" w:rsidRPr="00F419F6" w:rsidP="00F419F6">
      <w:pPr>
        <w:pStyle w:val="ListBullet2"/>
      </w:pPr>
      <w:r w:rsidRPr="00F419F6">
        <w:t>monitoring equipment</w:t>
      </w:r>
    </w:p>
    <w:p w:rsidR="00000000" w:rsidRPr="00F419F6" w:rsidP="00F419F6">
      <w:pPr>
        <w:pStyle w:val="ListBullet2"/>
      </w:pPr>
      <w:r w:rsidRPr="00F419F6">
        <w:t xml:space="preserve">medications </w:t>
      </w:r>
    </w:p>
    <w:p w:rsidR="00000000" w:rsidRPr="00F419F6" w:rsidP="00F419F6">
      <w:pPr>
        <w:pStyle w:val="ListBullet2"/>
      </w:pPr>
      <w:r w:rsidRPr="00F419F6">
        <w:t>chest drains</w:t>
      </w:r>
    </w:p>
    <w:p w:rsidR="00000000" w:rsidRPr="00F419F6" w:rsidP="00F419F6">
      <w:pPr>
        <w:pStyle w:val="AllowPageBreak"/>
      </w:pPr>
    </w:p>
    <w:p w:rsidR="00000000" w:rsidRPr="00F419F6" w:rsidP="00F419F6">
      <w:pPr>
        <w:pStyle w:val="Heading1"/>
      </w:pPr>
      <w:bookmarkStart w:id="9" w:name="O_742164"/>
      <w:bookmarkEnd w:id="9"/>
      <w:r w:rsidRPr="00F419F6">
        <w:t>Knowledge Evidence</w:t>
      </w:r>
    </w:p>
    <w:p w:rsidR="00000000" w:rsidRPr="00F419F6" w:rsidP="00737BEA">
      <w:pPr>
        <w:pStyle w:val="BodyText"/>
      </w:pPr>
      <w:r w:rsidRPr="00F419F6">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F419F6">
        <w:t xml:space="preserve">of: </w:t>
      </w:r>
    </w:p>
    <w:p w:rsidR="00000000" w:rsidRPr="00F419F6" w:rsidP="00F419F6">
      <w:pPr>
        <w:pStyle w:val="ListBullet"/>
      </w:pPr>
      <w:r w:rsidRPr="00F419F6">
        <w:t>legal and ethical considerations (national, state/territory) for emergencies, and how these are applied in organisations:</w:t>
      </w:r>
    </w:p>
    <w:p w:rsidR="00000000" w:rsidRPr="00F419F6" w:rsidP="00F419F6">
      <w:pPr>
        <w:pStyle w:val="ListBullet2"/>
      </w:pPr>
      <w:r w:rsidRPr="00F419F6">
        <w:t>codes of practice</w:t>
      </w:r>
    </w:p>
    <w:p w:rsidR="00000000" w:rsidRPr="00F419F6" w:rsidP="00F419F6">
      <w:pPr>
        <w:pStyle w:val="ListBullet2"/>
      </w:pPr>
      <w:r w:rsidRPr="00F419F6">
        <w:t>duty of care</w:t>
      </w:r>
    </w:p>
    <w:p w:rsidR="00000000" w:rsidRPr="00F419F6" w:rsidP="00F419F6">
      <w:pPr>
        <w:pStyle w:val="ListBullet2"/>
      </w:pPr>
      <w:r w:rsidRPr="00F419F6">
        <w:t xml:space="preserve">infection prevention and control </w:t>
      </w:r>
    </w:p>
    <w:p w:rsidR="00000000" w:rsidRPr="00F419F6" w:rsidP="00F419F6">
      <w:pPr>
        <w:pStyle w:val="ListBullet2"/>
      </w:pPr>
      <w:r w:rsidRPr="00F419F6">
        <w:t xml:space="preserve">informed consent </w:t>
      </w:r>
    </w:p>
    <w:p w:rsidR="00000000" w:rsidRPr="00F419F6" w:rsidP="00F419F6">
      <w:pPr>
        <w:pStyle w:val="ListBullet2"/>
      </w:pPr>
      <w:r w:rsidRPr="00F419F6">
        <w:t xml:space="preserve">mandatory reporting </w:t>
      </w:r>
    </w:p>
    <w:p w:rsidR="00000000" w:rsidRPr="00F419F6" w:rsidP="00F419F6">
      <w:pPr>
        <w:pStyle w:val="ListBullet2"/>
      </w:pPr>
      <w:r w:rsidRPr="00F419F6">
        <w:t>privacy, confidentialit</w:t>
      </w:r>
      <w:r w:rsidRPr="00F419F6">
        <w:t>y and disclosure</w:t>
      </w:r>
    </w:p>
    <w:p w:rsidR="00000000" w:rsidRPr="00F419F6" w:rsidP="00F419F6">
      <w:pPr>
        <w:pStyle w:val="ListBullet2"/>
      </w:pPr>
      <w:r w:rsidRPr="00F419F6">
        <w:t xml:space="preserve">records management </w:t>
      </w:r>
    </w:p>
    <w:p w:rsidR="00000000" w:rsidRPr="00F419F6" w:rsidP="00F419F6">
      <w:pPr>
        <w:pStyle w:val="ListBullet2"/>
      </w:pPr>
      <w:r w:rsidRPr="00F419F6">
        <w:t>rights and responsibilities of workers, employers and clients</w:t>
      </w:r>
    </w:p>
    <w:p w:rsidR="00000000" w:rsidRPr="00F419F6" w:rsidP="00F419F6">
      <w:pPr>
        <w:pStyle w:val="ListBullet2"/>
      </w:pPr>
      <w:r w:rsidRPr="00F419F6">
        <w:t>work role boundaries – responsibilities and limitations in emergencies</w:t>
      </w:r>
    </w:p>
    <w:p w:rsidR="00000000" w:rsidRPr="00F419F6" w:rsidP="00F419F6">
      <w:pPr>
        <w:pStyle w:val="ListBullet2"/>
      </w:pPr>
      <w:r w:rsidRPr="00F419F6">
        <w:t>work health and safety</w:t>
      </w:r>
    </w:p>
    <w:p w:rsidR="00000000" w:rsidRPr="00F419F6" w:rsidP="00F419F6">
      <w:pPr>
        <w:pStyle w:val="ListBullet"/>
      </w:pPr>
      <w:r w:rsidRPr="00F419F6">
        <w:t>the fo</w:t>
      </w:r>
      <w:r w:rsidRPr="00F419F6">
        <w:t>llowing anaesthetic emergencies, their signs, symptoms, physiological and non-physiological causes, treatment or resolution and prediction:</w:t>
      </w:r>
    </w:p>
    <w:p w:rsidR="00000000" w:rsidRPr="00F419F6" w:rsidP="00F419F6">
      <w:pPr>
        <w:pStyle w:val="ListBullet2"/>
      </w:pPr>
      <w:r w:rsidRPr="00F419F6">
        <w:t>respiratory/ airway emergencies:</w:t>
      </w:r>
    </w:p>
    <w:p w:rsidR="00000000" w:rsidRPr="00F419F6" w:rsidP="00F419F6">
      <w:pPr>
        <w:pStyle w:val="ListBullet3"/>
      </w:pPr>
      <w:r w:rsidRPr="00F419F6">
        <w:t>difficult/compromised airway</w:t>
      </w:r>
    </w:p>
    <w:p w:rsidR="00000000" w:rsidRPr="00F419F6" w:rsidP="00F419F6">
      <w:pPr>
        <w:pStyle w:val="ListBullet3"/>
      </w:pPr>
      <w:r w:rsidRPr="00F419F6">
        <w:t>can’t intubate can’t ventilate</w:t>
      </w:r>
    </w:p>
    <w:p w:rsidR="00000000" w:rsidRPr="00F419F6" w:rsidP="00F419F6">
      <w:pPr>
        <w:pStyle w:val="ListBullet3"/>
      </w:pPr>
      <w:r w:rsidRPr="00F419F6">
        <w:t xml:space="preserve">bronchospasm </w:t>
      </w:r>
    </w:p>
    <w:p w:rsidR="00000000" w:rsidRPr="00F419F6" w:rsidP="00F419F6">
      <w:pPr>
        <w:pStyle w:val="ListBullet3"/>
      </w:pPr>
      <w:r w:rsidRPr="00F419F6">
        <w:t xml:space="preserve">pneumothorax </w:t>
      </w:r>
    </w:p>
    <w:p w:rsidR="00000000" w:rsidRPr="00F419F6" w:rsidP="00F419F6">
      <w:pPr>
        <w:pStyle w:val="ListBullet3"/>
      </w:pPr>
      <w:r w:rsidRPr="00F419F6">
        <w:t>laryngospasm</w:t>
      </w:r>
    </w:p>
    <w:p w:rsidR="00000000" w:rsidRPr="00F419F6" w:rsidP="00F419F6">
      <w:pPr>
        <w:pStyle w:val="ListBullet3"/>
      </w:pPr>
      <w:r w:rsidRPr="00F419F6">
        <w:t>aspiration</w:t>
      </w:r>
    </w:p>
    <w:p w:rsidR="00000000" w:rsidRPr="00F419F6" w:rsidP="00F419F6">
      <w:pPr>
        <w:pStyle w:val="ListBullet3"/>
      </w:pPr>
      <w:r w:rsidRPr="00F419F6">
        <w:t>suxamethonium apnoea</w:t>
      </w:r>
    </w:p>
    <w:p w:rsidR="00000000" w:rsidRPr="00F419F6" w:rsidP="00F419F6">
      <w:pPr>
        <w:pStyle w:val="ListBullet3"/>
      </w:pPr>
      <w:r w:rsidRPr="00F419F6">
        <w:t>hypoxia/hypoxaemia</w:t>
      </w:r>
    </w:p>
    <w:p w:rsidR="00000000" w:rsidRPr="00F419F6" w:rsidP="00F419F6">
      <w:pPr>
        <w:pStyle w:val="ListBullet3"/>
      </w:pPr>
      <w:r w:rsidRPr="00F419F6">
        <w:t>hypercarbia</w:t>
      </w:r>
    </w:p>
    <w:p w:rsidR="00000000" w:rsidRPr="00F419F6" w:rsidP="00F419F6">
      <w:pPr>
        <w:pStyle w:val="ListBullet2"/>
      </w:pPr>
      <w:r w:rsidRPr="00F419F6">
        <w:t>cardiac emergencies:</w:t>
      </w:r>
    </w:p>
    <w:p w:rsidR="00000000" w:rsidRPr="00F419F6" w:rsidP="00F419F6">
      <w:pPr>
        <w:pStyle w:val="ListBullet3"/>
      </w:pPr>
      <w:r w:rsidRPr="00F419F6">
        <w:t>ventricular fibrillation</w:t>
      </w:r>
    </w:p>
    <w:p w:rsidR="00000000" w:rsidRPr="00F419F6" w:rsidP="00F419F6">
      <w:pPr>
        <w:pStyle w:val="ListBullet3"/>
      </w:pPr>
      <w:r w:rsidRPr="00F419F6">
        <w:t>ventricular tachycardia</w:t>
      </w:r>
    </w:p>
    <w:p w:rsidR="00000000" w:rsidRPr="00F419F6" w:rsidP="00F419F6">
      <w:pPr>
        <w:pStyle w:val="ListBullet3"/>
      </w:pPr>
      <w:r w:rsidRPr="00F419F6">
        <w:t>pulseless electrical activity</w:t>
      </w:r>
    </w:p>
    <w:p w:rsidR="00000000" w:rsidRPr="00F419F6" w:rsidP="00F419F6">
      <w:pPr>
        <w:pStyle w:val="ListBullet3"/>
      </w:pPr>
      <w:r w:rsidRPr="00F419F6">
        <w:t>asystole</w:t>
      </w:r>
    </w:p>
    <w:p w:rsidR="00000000" w:rsidRPr="00F419F6" w:rsidP="00F419F6">
      <w:pPr>
        <w:pStyle w:val="ListBullet3"/>
      </w:pPr>
      <w:r w:rsidRPr="00F419F6">
        <w:t>third degree heart block</w:t>
      </w:r>
    </w:p>
    <w:p w:rsidR="00000000" w:rsidRPr="00F419F6" w:rsidP="00F419F6">
      <w:pPr>
        <w:pStyle w:val="ListBullet3"/>
      </w:pPr>
      <w:r w:rsidRPr="00F419F6">
        <w:t>cardiac arrhythmias which pose</w:t>
      </w:r>
      <w:r w:rsidRPr="00F419F6">
        <w:t xml:space="preserve"> threat to life for individual clients</w:t>
      </w:r>
    </w:p>
    <w:p w:rsidR="00000000" w:rsidRPr="00F419F6" w:rsidP="00F419F6">
      <w:pPr>
        <w:pStyle w:val="ListBullet3"/>
      </w:pPr>
      <w:r w:rsidRPr="00F419F6">
        <w:t>perioperative myocardial infarcts</w:t>
      </w:r>
    </w:p>
    <w:p w:rsidR="00000000" w:rsidRPr="00F419F6" w:rsidP="00F419F6">
      <w:pPr>
        <w:pStyle w:val="ListBullet3"/>
      </w:pPr>
      <w:r w:rsidRPr="00F419F6">
        <w:t>cardiac tamponade</w:t>
      </w:r>
    </w:p>
    <w:p w:rsidR="00000000" w:rsidRPr="00F419F6" w:rsidP="00F419F6">
      <w:pPr>
        <w:pStyle w:val="ListBullet2"/>
      </w:pPr>
      <w:r w:rsidRPr="00F419F6">
        <w:t>malignant hyperthermia</w:t>
      </w:r>
    </w:p>
    <w:p w:rsidR="00000000" w:rsidRPr="00F419F6" w:rsidP="00F419F6">
      <w:pPr>
        <w:pStyle w:val="ListBullet2"/>
      </w:pPr>
      <w:r w:rsidRPr="00F419F6">
        <w:t>hypothermia</w:t>
      </w:r>
    </w:p>
    <w:p w:rsidR="00000000" w:rsidRPr="00F419F6" w:rsidP="00F419F6">
      <w:pPr>
        <w:pStyle w:val="ListBullet2"/>
      </w:pPr>
      <w:r w:rsidRPr="00F419F6">
        <w:t>hypovolaemic shock/massive blood loss)</w:t>
      </w:r>
    </w:p>
    <w:p w:rsidR="00000000" w:rsidRPr="00F419F6" w:rsidP="00F419F6">
      <w:pPr>
        <w:pStyle w:val="ListBullet2"/>
      </w:pPr>
      <w:r w:rsidRPr="00F419F6">
        <w:t>severe hypotension</w:t>
      </w:r>
    </w:p>
    <w:p w:rsidR="00000000" w:rsidRPr="00F419F6" w:rsidP="00F419F6">
      <w:pPr>
        <w:pStyle w:val="ListBullet2"/>
      </w:pPr>
      <w:r w:rsidRPr="00F419F6">
        <w:t>severe hypertension</w:t>
      </w:r>
    </w:p>
    <w:p w:rsidR="00000000" w:rsidRPr="00F419F6" w:rsidP="00F419F6">
      <w:pPr>
        <w:pStyle w:val="ListBullet2"/>
      </w:pPr>
      <w:r w:rsidRPr="00F419F6">
        <w:t>pulmonary hypertension</w:t>
      </w:r>
    </w:p>
    <w:p w:rsidR="00000000" w:rsidRPr="00F419F6" w:rsidP="00F419F6">
      <w:pPr>
        <w:pStyle w:val="ListBullet2"/>
      </w:pPr>
      <w:r w:rsidRPr="00F419F6">
        <w:t xml:space="preserve">anaphylactic shock </w:t>
      </w:r>
    </w:p>
    <w:p w:rsidR="00000000" w:rsidRPr="00F419F6" w:rsidP="00F419F6">
      <w:pPr>
        <w:pStyle w:val="ListBullet2"/>
      </w:pPr>
      <w:r w:rsidRPr="00F419F6">
        <w:t>thromboembolism or pulmonary embolism – fat, thrombus, air/gas, amniotic fluid</w:t>
      </w:r>
    </w:p>
    <w:p w:rsidR="00000000" w:rsidRPr="00F419F6" w:rsidP="00F419F6">
      <w:pPr>
        <w:pStyle w:val="ListBullet2"/>
      </w:pPr>
      <w:r w:rsidRPr="00F419F6">
        <w:t>pulmonary oedema &amp; negative pressure pulmonary oedema</w:t>
      </w:r>
    </w:p>
    <w:p w:rsidR="00000000" w:rsidRPr="00F419F6" w:rsidP="00F419F6">
      <w:pPr>
        <w:pStyle w:val="ListBullet2"/>
      </w:pPr>
      <w:r w:rsidRPr="00F419F6">
        <w:t>local anaesthetic toxicity</w:t>
      </w:r>
    </w:p>
    <w:p w:rsidR="00000000" w:rsidRPr="00F419F6" w:rsidP="00F419F6">
      <w:pPr>
        <w:pStyle w:val="ListBullet2"/>
      </w:pPr>
      <w:r w:rsidRPr="00F419F6">
        <w:t>total spinal</w:t>
      </w:r>
    </w:p>
    <w:p w:rsidR="00000000" w:rsidRPr="00F419F6" w:rsidP="00F419F6">
      <w:pPr>
        <w:pStyle w:val="ListBullet2"/>
      </w:pPr>
      <w:r w:rsidRPr="00F419F6">
        <w:t>metabolic and endocrine abnormalities</w:t>
      </w:r>
    </w:p>
    <w:p w:rsidR="00000000" w:rsidRPr="00F419F6" w:rsidP="00F419F6">
      <w:pPr>
        <w:pStyle w:val="ListBullet2"/>
      </w:pPr>
      <w:r w:rsidRPr="00F419F6">
        <w:t xml:space="preserve">drug administration error and adverse drug reaction  </w:t>
      </w:r>
    </w:p>
    <w:p w:rsidR="00000000" w:rsidRPr="00F419F6" w:rsidP="00F419F6">
      <w:pPr>
        <w:pStyle w:val="ListBullet2"/>
      </w:pPr>
      <w:r w:rsidRPr="00F419F6">
        <w:t>septic shower</w:t>
      </w:r>
    </w:p>
    <w:p w:rsidR="00000000" w:rsidRPr="00F419F6" w:rsidP="00F419F6">
      <w:pPr>
        <w:pStyle w:val="ListBullet"/>
      </w:pPr>
      <w:r w:rsidRPr="00F419F6">
        <w:t>external emergencies including equipment failure, equipment/consumable supply shortage, weather events, fire and power outage</w:t>
      </w:r>
    </w:p>
    <w:p w:rsidR="00000000" w:rsidRPr="00F419F6" w:rsidP="00F419F6">
      <w:pPr>
        <w:pStyle w:val="ListBullet"/>
      </w:pPr>
      <w:r w:rsidRPr="00F419F6">
        <w:t>algorithms used to de-escalate anaesthetic emergencies</w:t>
      </w:r>
    </w:p>
    <w:p w:rsidR="00000000" w:rsidRPr="00F419F6" w:rsidP="00F419F6">
      <w:pPr>
        <w:pStyle w:val="ListBullet"/>
      </w:pPr>
      <w:r w:rsidRPr="00F419F6">
        <w:t>crisis</w:t>
      </w:r>
      <w:r w:rsidRPr="00F419F6">
        <w:t xml:space="preserve"> management basic principles including internal and external crisis sources</w:t>
      </w:r>
    </w:p>
    <w:p w:rsidR="00000000" w:rsidRPr="00F419F6" w:rsidP="00F419F6">
      <w:pPr>
        <w:pStyle w:val="ListBullet"/>
      </w:pPr>
      <w:r w:rsidRPr="00F419F6">
        <w:t>methods, principles and procedures for dealing with emergencies, including:</w:t>
      </w:r>
    </w:p>
    <w:p w:rsidR="00000000" w:rsidRPr="00F419F6" w:rsidP="00F419F6">
      <w:pPr>
        <w:pStyle w:val="ListBullet2"/>
      </w:pPr>
      <w:r w:rsidRPr="00F419F6">
        <w:t>problem solving techniques</w:t>
      </w:r>
    </w:p>
    <w:p w:rsidR="00000000" w:rsidRPr="00F419F6" w:rsidP="00F419F6">
      <w:pPr>
        <w:pStyle w:val="ListBullet2"/>
      </w:pPr>
      <w:r w:rsidRPr="00F419F6">
        <w:t xml:space="preserve">graded assertiveness </w:t>
      </w:r>
    </w:p>
    <w:p w:rsidR="00000000" w:rsidRPr="00F419F6" w:rsidP="00F419F6">
      <w:pPr>
        <w:pStyle w:val="ListBullet2"/>
      </w:pPr>
      <w:r w:rsidRPr="00F419F6">
        <w:t>crisis communication principles</w:t>
      </w:r>
    </w:p>
    <w:p w:rsidR="00000000" w:rsidRPr="00F419F6" w:rsidP="00F419F6">
      <w:pPr>
        <w:pStyle w:val="ListBullet2"/>
      </w:pPr>
      <w:r w:rsidRPr="00F419F6">
        <w:t>clinical handover</w:t>
      </w:r>
    </w:p>
    <w:p w:rsidR="00000000" w:rsidRPr="00F419F6" w:rsidP="00F419F6">
      <w:pPr>
        <w:pStyle w:val="ListBullet2"/>
      </w:pPr>
      <w:r w:rsidRPr="00F419F6">
        <w:t>mult</w:t>
      </w:r>
      <w:r w:rsidRPr="00F419F6">
        <w:t>idisciplinary team structure and functions</w:t>
      </w:r>
    </w:p>
    <w:p w:rsidR="00000000" w:rsidRPr="00F419F6" w:rsidP="00F419F6">
      <w:pPr>
        <w:pStyle w:val="ListBullet2"/>
      </w:pPr>
      <w:r w:rsidRPr="00F419F6">
        <w:t>situation monitoring/situational awareness</w:t>
      </w:r>
    </w:p>
    <w:p w:rsidR="00000000" w:rsidRPr="00F419F6" w:rsidP="00F419F6">
      <w:pPr>
        <w:pStyle w:val="ListBullet2"/>
      </w:pPr>
      <w:r w:rsidRPr="00F419F6">
        <w:t>massive transfusion protocol</w:t>
      </w:r>
    </w:p>
    <w:p w:rsidR="00000000" w:rsidRPr="00F419F6" w:rsidP="00F419F6">
      <w:pPr>
        <w:pStyle w:val="ListBullet2"/>
      </w:pPr>
      <w:r w:rsidRPr="00F419F6">
        <w:t>Australian Resuscitation Council guidelines</w:t>
      </w:r>
    </w:p>
    <w:p w:rsidR="00000000" w:rsidRPr="00F419F6" w:rsidP="00F419F6">
      <w:pPr>
        <w:pStyle w:val="ListBullet2"/>
      </w:pPr>
      <w:r w:rsidRPr="00F419F6">
        <w:t xml:space="preserve">Australian and New Zealand College of Anaesthetists (ANZCA) </w:t>
      </w:r>
      <w:r w:rsidRPr="00F419F6">
        <w:rPr>
          <w:rStyle w:val="Emphasis"/>
        </w:rPr>
        <w:t>Anaphylaxis guidelines</w:t>
      </w:r>
    </w:p>
    <w:p w:rsidR="00000000" w:rsidRPr="00F419F6" w:rsidP="00F419F6">
      <w:pPr>
        <w:pStyle w:val="ListBullet2"/>
      </w:pPr>
      <w:r w:rsidRPr="00F419F6">
        <w:t xml:space="preserve">ANZCA </w:t>
      </w:r>
      <w:r w:rsidRPr="00F419F6">
        <w:rPr>
          <w:rStyle w:val="Emphasis"/>
        </w:rPr>
        <w:t>Malignant hyperthermia guidelines</w:t>
      </w:r>
    </w:p>
    <w:p w:rsidR="00000000" w:rsidRPr="00F419F6" w:rsidP="00F419F6">
      <w:pPr>
        <w:pStyle w:val="ListBullet"/>
      </w:pPr>
      <w:r w:rsidRPr="00F419F6">
        <w:t>features, functions and safe use of emergency equipment</w:t>
      </w:r>
    </w:p>
    <w:p w:rsidR="00000000" w:rsidRPr="00F419F6" w:rsidP="00F419F6">
      <w:pPr>
        <w:pStyle w:val="ListBullet"/>
      </w:pPr>
      <w:r w:rsidRPr="00F419F6">
        <w:t>emergency drug administration:</w:t>
      </w:r>
    </w:p>
    <w:p w:rsidR="00000000" w:rsidRPr="00F419F6" w:rsidP="00F419F6">
      <w:pPr>
        <w:pStyle w:val="ListBullet2"/>
      </w:pPr>
      <w:r w:rsidRPr="00F419F6">
        <w:t>equipment</w:t>
      </w:r>
    </w:p>
    <w:p w:rsidR="00000000" w:rsidRPr="00F419F6" w:rsidP="00F419F6">
      <w:pPr>
        <w:pStyle w:val="ListBullet2"/>
      </w:pPr>
      <w:r w:rsidRPr="00F419F6">
        <w:t>routes of administration in anaesthesia context</w:t>
      </w:r>
    </w:p>
    <w:p w:rsidR="00000000" w:rsidRPr="00F419F6" w:rsidP="00F419F6">
      <w:pPr>
        <w:pStyle w:val="ListBullet2"/>
      </w:pPr>
      <w:r w:rsidRPr="00F419F6">
        <w:t>types, functions and effects of different drugs</w:t>
      </w:r>
    </w:p>
    <w:p w:rsidR="00000000" w:rsidRPr="00F419F6" w:rsidP="00F419F6">
      <w:pPr>
        <w:pStyle w:val="ListBullet2"/>
      </w:pPr>
      <w:r w:rsidRPr="00F419F6">
        <w:t>legislation and protocols</w:t>
      </w:r>
    </w:p>
    <w:p w:rsidR="00000000" w:rsidRPr="00F419F6" w:rsidP="00F419F6">
      <w:pPr>
        <w:pStyle w:val="AllowPageBreak"/>
      </w:pPr>
    </w:p>
    <w:p w:rsidR="00000000" w:rsidRPr="00F419F6" w:rsidP="00F419F6">
      <w:pPr>
        <w:pStyle w:val="Heading1"/>
      </w:pPr>
      <w:bookmarkStart w:id="10" w:name="O_742165"/>
      <w:bookmarkEnd w:id="10"/>
      <w:r w:rsidRPr="00F419F6">
        <w:t>Assessment Conditions</w:t>
      </w:r>
    </w:p>
    <w:p w:rsidR="00000000" w:rsidRPr="00F419F6" w:rsidP="00737BEA">
      <w:pPr>
        <w:pStyle w:val="BodyText"/>
      </w:pPr>
      <w:r w:rsidRPr="00F419F6">
        <w:t xml:space="preserve">Skills must have been demonstrated in a simulated environment that reflects workplace conditions. The following conditions must be met for this unit: </w:t>
      </w:r>
    </w:p>
    <w:p w:rsidR="00000000" w:rsidRPr="00F419F6" w:rsidP="00F419F6">
      <w:pPr>
        <w:pStyle w:val="ListBullet"/>
      </w:pPr>
      <w:r w:rsidRPr="00F419F6">
        <w:t xml:space="preserve">use of suitable facilities, equipment and resources, including those to simulate management of all emergencies identified in the Performance Evidence: </w:t>
      </w:r>
    </w:p>
    <w:p w:rsidR="00000000" w:rsidRPr="00F419F6" w:rsidP="00F419F6">
      <w:pPr>
        <w:pStyle w:val="ListBullet"/>
      </w:pPr>
      <w:r w:rsidRPr="00F419F6">
        <w:t>modelling of industry operating conditions, including presence of situations requiring problem solving i</w:t>
      </w:r>
      <w:r w:rsidRPr="00F419F6">
        <w:t>n non-routine situations</w:t>
      </w:r>
    </w:p>
    <w:p w:rsidR="00000000" w:rsidRPr="00F419F6" w:rsidP="00F419F6">
      <w:pPr>
        <w:pStyle w:val="BodyText"/>
      </w:pPr>
    </w:p>
    <w:p w:rsidR="00000000" w:rsidRPr="00F419F6" w:rsidP="00737BEA">
      <w:pPr>
        <w:pStyle w:val="BodyText"/>
      </w:pPr>
      <w:r w:rsidRPr="00F419F6">
        <w:t>Assessors must satisfy the Standards for Registered Training Organisations (RTOs) 2015/AQTF mandatory competency requirements for assessors.</w:t>
      </w:r>
    </w:p>
    <w:p w:rsidR="00000000" w:rsidRPr="00F419F6" w:rsidP="00F419F6">
      <w:pPr>
        <w:pStyle w:val="Heading1"/>
      </w:pPr>
      <w:bookmarkStart w:id="11" w:name="O_742168"/>
      <w:bookmarkEnd w:id="11"/>
      <w:r w:rsidRPr="00F419F6">
        <w:t>Links</w:t>
      </w:r>
    </w:p>
    <w:p w:rsidR="00000000" w:rsidRPr="00F419F6" w:rsidP="00737BEA">
      <w:pPr>
        <w:pStyle w:val="BodyText"/>
      </w:pPr>
      <w:r w:rsidRPr="00F419F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44047">
        <w:rPr>
          <w:rStyle w:val="Hyperlink"/>
        </w:rPr>
        <w:t>https://vetnet.gov.au/Pages/TrainingDocs.aspx?q=ced1390f-48d9-4ab0-bd50-b015e5485705</w:t>
      </w:r>
      <w:r>
        <w:fldChar w:fldCharType="end"/>
      </w:r>
    </w:p>
    <w:p w:rsidR="00000000" w:rsidRPr="00F419F6" w:rsidP="00F419F6"/>
    <w:sectPr w:rsidSect="00F419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F6" w:rsidRPr="00737BEA" w:rsidP="00737B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BEA" w:rsidP="00F41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37BEA" w:rsidP="00F419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37BEA" w:rsidP="00F419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F6" w:rsidP="00F419F6">
    <w:pPr>
      <w:pStyle w:val="Footer"/>
      <w:framePr w:wrap="around"/>
    </w:pPr>
    <w:r>
      <w:fldChar w:fldCharType="begin"/>
    </w:r>
    <w:r>
      <w:instrText xml:space="preserve"> DOCPROPERTY  Subject  \* MERGEFORMAT </w:instrText>
    </w:r>
    <w:r>
      <w:fldChar w:fldCharType="separate"/>
    </w:r>
    <w:r w:rsidR="00737BEA">
      <w:t>Approved</w:t>
    </w:r>
    <w:r w:rsidR="00737BEA">
      <w:fldChar w:fldCharType="end"/>
    </w:r>
    <w:r>
      <w:tab/>
      <w:t xml:space="preserve">Page </w:t>
    </w:r>
    <w:r>
      <w:fldChar w:fldCharType="begin"/>
    </w:r>
    <w:r>
      <w:instrText xml:space="preserve"> PAGE  \* Arabic  \* MERGEFORMAT </w:instrText>
    </w:r>
    <w:r>
      <w:fldChar w:fldCharType="separate"/>
    </w:r>
    <w:r w:rsidR="00737BE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7BEA">
      <w:rPr>
        <w:noProof/>
      </w:rPr>
      <w:t>6</w:t>
    </w:r>
    <w:r>
      <w:rPr>
        <w:noProof/>
      </w:rPr>
      <w:fldChar w:fldCharType="end"/>
    </w:r>
  </w:p>
  <w:p w:rsidR="00F419F6" w:rsidP="00F419F6">
    <w:pPr>
      <w:pStyle w:val="Footer"/>
      <w:framePr w:wrap="around"/>
    </w:pPr>
    <w:r>
      <w:t xml:space="preserve">© Commonwealth of Australia, </w:t>
    </w:r>
    <w:r>
      <w:fldChar w:fldCharType="begin"/>
    </w:r>
    <w:r>
      <w:instrText xml:space="preserve"> DATE  \@ "yyyy"  \* MERGEFORMAT </w:instrText>
    </w:r>
    <w:r>
      <w:fldChar w:fldCharType="separate"/>
    </w:r>
    <w:r w:rsidR="00737BEA">
      <w:rPr>
        <w:noProof/>
      </w:rPr>
      <w:t>2025</w:t>
    </w:r>
    <w:r>
      <w:fldChar w:fldCharType="end"/>
    </w:r>
    <w:r>
      <w:tab/>
    </w:r>
    <w:r>
      <w:fldChar w:fldCharType="begin"/>
    </w:r>
    <w:r>
      <w:instrText xml:space="preserve"> DOCPROPERTY  Author  \* MERGEFORMAT </w:instrText>
    </w:r>
    <w:r>
      <w:fldChar w:fldCharType="separate"/>
    </w:r>
    <w:r w:rsidR="00737BEA">
      <w:t>HumanAbility</w:t>
    </w:r>
    <w:r w:rsidR="00737BEA">
      <w:fldChar w:fldCharType="end"/>
    </w:r>
  </w:p>
  <w:p w:rsidR="00F419F6" w:rsidP="00F419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B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9F6" w:rsidRPr="00737BEA" w:rsidP="00737B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BEA" w:rsidRPr="002D2AF8" w:rsidP="00F419F6">
    <w:pPr>
      <w:pStyle w:val="Header"/>
      <w:framePr w:wrap="around"/>
    </w:pPr>
    <w:r>
      <w:fldChar w:fldCharType="begin"/>
    </w:r>
    <w:r>
      <w:instrText xml:space="preserve"> TITLE   \* MERGEFORMAT </w:instrText>
    </w:r>
    <w:r>
      <w:fldChar w:fldCharType="separate"/>
    </w:r>
    <w:r>
      <w:t>HLTANA004 Respond to anaesthesia related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7BEA" w:rsidP="00F419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F6" w:rsidRPr="002D2AF8" w:rsidP="00F419F6">
    <w:pPr>
      <w:pStyle w:val="Header"/>
      <w:framePr w:wrap="around"/>
    </w:pPr>
    <w:r>
      <w:fldChar w:fldCharType="begin"/>
    </w:r>
    <w:r>
      <w:instrText xml:space="preserve"> TITLE   \* MERGEFORMAT </w:instrText>
    </w:r>
    <w:r>
      <w:fldChar w:fldCharType="separate"/>
    </w:r>
    <w:r w:rsidR="00737BEA">
      <w:t>HLTANA004 Respond to anaesthesia related emergencies</w:t>
    </w:r>
    <w:r w:rsidR="00737BEA">
      <w:fldChar w:fldCharType="end"/>
    </w:r>
    <w:r>
      <w:tab/>
      <w:t xml:space="preserve">Date this document was generated: </w:t>
    </w:r>
    <w:r>
      <w:fldChar w:fldCharType="begin"/>
    </w:r>
    <w:r>
      <w:instrText xml:space="preserve"> CREATEDATE  \@ "d MMMM yyyy"  \* MERGEFORMAT </w:instrText>
    </w:r>
    <w:r>
      <w:fldChar w:fldCharType="separate"/>
    </w:r>
    <w:r w:rsidR="00737BEA">
      <w:rPr>
        <w:noProof/>
      </w:rPr>
      <w:t>2 March 2025</w:t>
    </w:r>
    <w:r>
      <w:fldChar w:fldCharType="end"/>
    </w:r>
  </w:p>
  <w:p w:rsidR="00F419F6" w:rsidP="00F41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06C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92F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A0F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9F6"/>
    <w:pPr>
      <w:spacing w:before="360" w:after="60"/>
      <w:outlineLvl w:val="0"/>
    </w:pPr>
    <w:rPr>
      <w:sz w:val="32"/>
    </w:rPr>
  </w:style>
  <w:style w:type="paragraph" w:styleId="Heading2">
    <w:name w:val="heading 2"/>
    <w:basedOn w:val="HeadingBase"/>
    <w:next w:val="BodyText"/>
    <w:link w:val="Heading2Char"/>
    <w:qFormat/>
    <w:rsid w:val="00F419F6"/>
    <w:pPr>
      <w:keepLines/>
      <w:spacing w:before="240" w:after="120"/>
      <w:outlineLvl w:val="1"/>
    </w:pPr>
    <w:rPr>
      <w:sz w:val="28"/>
      <w:szCs w:val="40"/>
    </w:rPr>
  </w:style>
  <w:style w:type="paragraph" w:styleId="Heading3">
    <w:name w:val="heading 3"/>
    <w:basedOn w:val="HeadingBase"/>
    <w:next w:val="BodyText"/>
    <w:link w:val="Heading3Char"/>
    <w:qFormat/>
    <w:rsid w:val="00F419F6"/>
    <w:pPr>
      <w:spacing w:before="180" w:after="120"/>
      <w:outlineLvl w:val="2"/>
    </w:pPr>
    <w:rPr>
      <w:spacing w:val="-10"/>
      <w:kern w:val="32"/>
    </w:rPr>
  </w:style>
  <w:style w:type="paragraph" w:styleId="Heading4">
    <w:name w:val="heading 4"/>
    <w:basedOn w:val="HeadingBase"/>
    <w:next w:val="BodyText"/>
    <w:link w:val="Heading4Char"/>
    <w:qFormat/>
    <w:rsid w:val="00F419F6"/>
    <w:pPr>
      <w:spacing w:before="160" w:after="120"/>
      <w:outlineLvl w:val="3"/>
    </w:pPr>
    <w:rPr>
      <w:sz w:val="22"/>
    </w:rPr>
  </w:style>
  <w:style w:type="paragraph" w:styleId="Heading5">
    <w:name w:val="heading 5"/>
    <w:basedOn w:val="HeadingBase"/>
    <w:next w:val="Normal"/>
    <w:link w:val="Heading5Char"/>
    <w:qFormat/>
    <w:rsid w:val="00F419F6"/>
    <w:pPr>
      <w:spacing w:before="80"/>
      <w:outlineLvl w:val="4"/>
    </w:pPr>
    <w:rPr>
      <w:color w:val="918585"/>
      <w:sz w:val="20"/>
    </w:rPr>
  </w:style>
  <w:style w:type="paragraph" w:styleId="Heading6">
    <w:name w:val="heading 6"/>
    <w:basedOn w:val="HeadingBase"/>
    <w:next w:val="Normal"/>
    <w:link w:val="Heading6Char"/>
    <w:qFormat/>
    <w:rsid w:val="00F419F6"/>
    <w:pPr>
      <w:spacing w:before="60"/>
      <w:outlineLvl w:val="5"/>
    </w:pPr>
    <w:rPr>
      <w:color w:val="918585"/>
      <w:sz w:val="20"/>
    </w:rPr>
  </w:style>
  <w:style w:type="paragraph" w:styleId="Heading7">
    <w:name w:val="heading 7"/>
    <w:basedOn w:val="Normal"/>
    <w:next w:val="Normal"/>
    <w:link w:val="Heading7Char"/>
    <w:qFormat/>
    <w:rsid w:val="00F419F6"/>
    <w:pPr>
      <w:ind w:left="720"/>
      <w:outlineLvl w:val="6"/>
    </w:pPr>
    <w:rPr>
      <w:i/>
    </w:rPr>
  </w:style>
  <w:style w:type="paragraph" w:styleId="Heading8">
    <w:name w:val="heading 8"/>
    <w:basedOn w:val="Normal"/>
    <w:next w:val="Normal"/>
    <w:link w:val="Heading8Char"/>
    <w:qFormat/>
    <w:rsid w:val="00F419F6"/>
    <w:pPr>
      <w:ind w:left="720"/>
      <w:outlineLvl w:val="7"/>
    </w:pPr>
    <w:rPr>
      <w:i/>
    </w:rPr>
  </w:style>
  <w:style w:type="paragraph" w:styleId="Heading9">
    <w:name w:val="heading 9"/>
    <w:basedOn w:val="Normal"/>
    <w:next w:val="Normal"/>
    <w:link w:val="Heading9Char"/>
    <w:qFormat/>
    <w:rsid w:val="00F419F6"/>
    <w:pPr>
      <w:ind w:left="720"/>
      <w:outlineLvl w:val="8"/>
    </w:pPr>
    <w:rPr>
      <w:i/>
    </w:rPr>
  </w:style>
  <w:style w:type="character" w:default="1" w:styleId="DefaultParagraphFont">
    <w:name w:val="Default Paragraph Font"/>
    <w:uiPriority w:val="1"/>
    <w:unhideWhenUsed/>
    <w:rsid w:val="00F41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9F6"/>
  </w:style>
  <w:style w:type="character" w:customStyle="1" w:styleId="Heading1Char">
    <w:name w:val="Heading 1 Char"/>
    <w:basedOn w:val="DefaultParagraphFont"/>
    <w:link w:val="Heading1"/>
    <w:rsid w:val="00F419F6"/>
    <w:rPr>
      <w:rFonts w:ascii="Times New Roman" w:eastAsia="Times New Roman" w:hAnsi="Times New Roman" w:cs="Times New Roman"/>
      <w:b/>
      <w:sz w:val="32"/>
      <w:szCs w:val="20"/>
      <w:lang w:eastAsia="en-US"/>
    </w:rPr>
  </w:style>
  <w:style w:type="paragraph" w:styleId="BodyText">
    <w:name w:val="Body Text"/>
    <w:basedOn w:val="Normal"/>
    <w:link w:val="BodyTextChar"/>
    <w:rsid w:val="00F419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9F6"/>
    <w:rPr>
      <w:rFonts w:ascii="Times New Roman" w:eastAsia="Times New Roman" w:hAnsi="Times New Roman" w:cs="Times New Roman"/>
      <w:sz w:val="24"/>
      <w:lang w:eastAsia="en-US"/>
    </w:rPr>
  </w:style>
  <w:style w:type="paragraph" w:styleId="ListBullet">
    <w:name w:val="List Bullet"/>
    <w:basedOn w:val="List"/>
    <w:rsid w:val="00F419F6"/>
    <w:pPr>
      <w:numPr>
        <w:numId w:val="13"/>
      </w:numPr>
      <w:tabs>
        <w:tab w:val="clear" w:pos="340"/>
      </w:tabs>
      <w:spacing w:before="40" w:after="40"/>
    </w:pPr>
  </w:style>
  <w:style w:type="character" w:customStyle="1" w:styleId="SpecialBold">
    <w:name w:val="Special Bold"/>
    <w:basedOn w:val="DefaultParagraphFont"/>
    <w:rsid w:val="00F419F6"/>
    <w:rPr>
      <w:b/>
      <w:spacing w:val="0"/>
    </w:rPr>
  </w:style>
  <w:style w:type="paragraph" w:styleId="ListBullet2">
    <w:name w:val="List Bullet 2"/>
    <w:basedOn w:val="List2"/>
    <w:rsid w:val="00F419F6"/>
    <w:pPr>
      <w:numPr>
        <w:numId w:val="14"/>
      </w:numPr>
      <w:tabs>
        <w:tab w:val="clear" w:pos="680"/>
      </w:tabs>
    </w:pPr>
  </w:style>
  <w:style w:type="character" w:styleId="Emphasis">
    <w:name w:val="Emphasis"/>
    <w:basedOn w:val="DefaultParagraphFont"/>
    <w:qFormat/>
    <w:rsid w:val="00F419F6"/>
    <w:rPr>
      <w:i/>
    </w:rPr>
  </w:style>
  <w:style w:type="paragraph" w:customStyle="1" w:styleId="SuperHeading">
    <w:name w:val="SuperHeading"/>
    <w:basedOn w:val="Normal"/>
    <w:rsid w:val="00F419F6"/>
    <w:pPr>
      <w:spacing w:before="240" w:after="120"/>
      <w:outlineLvl w:val="0"/>
    </w:pPr>
    <w:rPr>
      <w:rFonts w:ascii="Times New Roman" w:hAnsi="Times New Roman"/>
      <w:b/>
      <w:sz w:val="32"/>
    </w:rPr>
  </w:style>
  <w:style w:type="paragraph" w:customStyle="1" w:styleId="AllowPageBreak">
    <w:name w:val="AllowPageBreak"/>
    <w:rsid w:val="00F419F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19F6"/>
    <w:pPr>
      <w:numPr>
        <w:numId w:val="3"/>
      </w:numPr>
      <w:tabs>
        <w:tab w:val="clear" w:pos="1021"/>
      </w:tabs>
      <w:ind w:left="1037" w:hanging="357"/>
    </w:pPr>
  </w:style>
  <w:style w:type="character" w:customStyle="1" w:styleId="Heading2Char">
    <w:name w:val="Heading 2 Char"/>
    <w:basedOn w:val="DefaultParagraphFont"/>
    <w:link w:val="Heading2"/>
    <w:rsid w:val="00F41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9F6"/>
    <w:rPr>
      <w:rFonts w:ascii="Courier New" w:eastAsia="Times New Roman" w:hAnsi="Courier New" w:cs="Times New Roman"/>
      <w:i/>
      <w:szCs w:val="20"/>
      <w:lang w:eastAsia="en-US"/>
    </w:rPr>
  </w:style>
  <w:style w:type="paragraph" w:customStyle="1" w:styleId="HeadingBase">
    <w:name w:val="Heading Base"/>
    <w:rsid w:val="00F41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9F6"/>
    <w:pPr>
      <w:tabs>
        <w:tab w:val="right" w:leader="dot" w:pos="9072"/>
      </w:tabs>
      <w:ind w:left="567"/>
    </w:pPr>
    <w:rPr>
      <w:szCs w:val="22"/>
    </w:rPr>
  </w:style>
  <w:style w:type="paragraph" w:customStyle="1" w:styleId="TOCBase">
    <w:name w:val="TOC Base"/>
    <w:rsid w:val="00F41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9F6"/>
    <w:pPr>
      <w:tabs>
        <w:tab w:val="right" w:leader="dot" w:pos="9072"/>
      </w:tabs>
      <w:spacing w:before="40" w:after="40"/>
      <w:ind w:left="284"/>
    </w:pPr>
    <w:rPr>
      <w:rFonts w:ascii="Times New Roman" w:hAnsi="Times New Roman"/>
    </w:rPr>
  </w:style>
  <w:style w:type="paragraph" w:styleId="TOC1">
    <w:name w:val="toc 1"/>
    <w:basedOn w:val="TOCBase"/>
    <w:next w:val="Normal"/>
    <w:rsid w:val="00F419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9F6"/>
    <w:rPr>
      <w:rFonts w:ascii="Times New Roman" w:eastAsia="Times New Roman" w:hAnsi="Times New Roman" w:cs="Times New Roman"/>
      <w:sz w:val="16"/>
      <w:lang w:eastAsia="en-US"/>
    </w:rPr>
  </w:style>
  <w:style w:type="paragraph" w:styleId="Title">
    <w:name w:val="Title"/>
    <w:basedOn w:val="HeadingBase"/>
    <w:link w:val="TitleChar"/>
    <w:qFormat/>
    <w:rsid w:val="00F419F6"/>
    <w:pPr>
      <w:spacing w:before="5040"/>
      <w:jc w:val="center"/>
    </w:pPr>
    <w:rPr>
      <w:sz w:val="48"/>
      <w:szCs w:val="72"/>
      <w:lang w:val="en-US"/>
    </w:rPr>
  </w:style>
  <w:style w:type="character" w:customStyle="1" w:styleId="TitleChar">
    <w:name w:val="Title Char"/>
    <w:basedOn w:val="DefaultParagraphFont"/>
    <w:link w:val="Title"/>
    <w:rsid w:val="00F41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9F6"/>
    <w:pPr>
      <w:tabs>
        <w:tab w:val="left" w:pos="3600"/>
        <w:tab w:val="left" w:pos="3958"/>
      </w:tabs>
    </w:pPr>
  </w:style>
  <w:style w:type="paragraph" w:styleId="List">
    <w:name w:val="List"/>
    <w:basedOn w:val="BodyText"/>
    <w:next w:val="BodyText"/>
    <w:rsid w:val="00F419F6"/>
    <w:pPr>
      <w:tabs>
        <w:tab w:val="left" w:pos="340"/>
      </w:tabs>
      <w:spacing w:before="60" w:after="60"/>
      <w:ind w:left="340" w:hanging="340"/>
    </w:pPr>
  </w:style>
  <w:style w:type="paragraph" w:customStyle="1" w:styleId="Note">
    <w:name w:val="Note"/>
    <w:basedOn w:val="BodyText"/>
    <w:rsid w:val="00F41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9F6"/>
    <w:pPr>
      <w:framePr w:wrap="auto" w:hAnchor="text" w:y="6049"/>
    </w:pPr>
    <w:rPr>
      <w:color w:val="000000"/>
      <w:sz w:val="40"/>
    </w:rPr>
  </w:style>
  <w:style w:type="paragraph" w:customStyle="1" w:styleId="TOCTitle">
    <w:name w:val="TOCTitle"/>
    <w:basedOn w:val="Heading1"/>
    <w:rsid w:val="00F419F6"/>
    <w:pPr>
      <w:spacing w:after="240"/>
      <w:jc w:val="center"/>
      <w:outlineLvl w:val="9"/>
    </w:pPr>
    <w:rPr>
      <w:caps/>
    </w:rPr>
  </w:style>
  <w:style w:type="paragraph" w:customStyle="1" w:styleId="Version">
    <w:name w:val="Version"/>
    <w:rsid w:val="00F419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9F6"/>
    <w:pPr>
      <w:keepNext w:val="0"/>
      <w:tabs>
        <w:tab w:val="right" w:pos="4176"/>
      </w:tabs>
      <w:ind w:left="198" w:hanging="198"/>
    </w:pPr>
    <w:rPr>
      <w:rFonts w:ascii="Garamond" w:hAnsi="Garamond"/>
    </w:rPr>
  </w:style>
  <w:style w:type="paragraph" w:styleId="IndexHeading">
    <w:name w:val="index heading"/>
    <w:basedOn w:val="Normal"/>
    <w:next w:val="Index1"/>
    <w:semiHidden/>
    <w:rsid w:val="00F419F6"/>
    <w:pPr>
      <w:spacing w:before="120" w:after="120"/>
    </w:pPr>
    <w:rPr>
      <w:rFonts w:ascii="Arial" w:hAnsi="Arial"/>
      <w:b/>
      <w:color w:val="918585"/>
      <w:sz w:val="24"/>
    </w:rPr>
  </w:style>
  <w:style w:type="paragraph" w:styleId="Header">
    <w:name w:val="header"/>
    <w:basedOn w:val="Normal"/>
    <w:link w:val="HeaderChar"/>
    <w:rsid w:val="00F41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9F6"/>
    <w:rPr>
      <w:rFonts w:ascii="Times New Roman" w:eastAsia="Times New Roman" w:hAnsi="Times New Roman" w:cs="Times New Roman"/>
      <w:sz w:val="16"/>
      <w:szCs w:val="20"/>
      <w:lang w:val="en-GB" w:eastAsia="en-US"/>
    </w:rPr>
  </w:style>
  <w:style w:type="paragraph" w:customStyle="1" w:styleId="Chapter">
    <w:name w:val="Chapter"/>
    <w:basedOn w:val="Normal"/>
    <w:rsid w:val="00F419F6"/>
    <w:pPr>
      <w:spacing w:before="240"/>
    </w:pPr>
    <w:rPr>
      <w:rFonts w:ascii="Times New Roman" w:hAnsi="Times New Roman"/>
      <w:smallCaps/>
      <w:spacing w:val="80"/>
      <w:sz w:val="28"/>
    </w:rPr>
  </w:style>
  <w:style w:type="paragraph" w:customStyle="1" w:styleId="InChapter">
    <w:name w:val="InChapter"/>
    <w:basedOn w:val="Heading3"/>
    <w:rsid w:val="00F419F6"/>
    <w:pPr>
      <w:spacing w:after="240"/>
      <w:outlineLvl w:val="9"/>
    </w:pPr>
    <w:rPr>
      <w:noProof/>
    </w:rPr>
  </w:style>
  <w:style w:type="paragraph" w:styleId="Index2">
    <w:name w:val="index 2"/>
    <w:basedOn w:val="Normal"/>
    <w:next w:val="Normal"/>
    <w:semiHidden/>
    <w:rsid w:val="00F419F6"/>
    <w:pPr>
      <w:tabs>
        <w:tab w:val="right" w:pos="4176"/>
      </w:tabs>
      <w:ind w:left="568" w:hanging="284"/>
    </w:pPr>
    <w:rPr>
      <w:rFonts w:ascii="Garamond" w:hAnsi="Garamond"/>
    </w:rPr>
  </w:style>
  <w:style w:type="paragraph" w:customStyle="1" w:styleId="Byline">
    <w:name w:val="Byline"/>
    <w:rsid w:val="00F41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9F6"/>
    <w:pPr>
      <w:tabs>
        <w:tab w:val="clear" w:pos="3600"/>
        <w:tab w:val="clear" w:pos="3958"/>
      </w:tabs>
      <w:jc w:val="right"/>
    </w:pPr>
  </w:style>
  <w:style w:type="paragraph" w:styleId="Caption">
    <w:name w:val="caption"/>
    <w:basedOn w:val="BodyText"/>
    <w:next w:val="Normal"/>
    <w:qFormat/>
    <w:rsid w:val="00F419F6"/>
    <w:pPr>
      <w:framePr w:w="2268" w:hSpace="181" w:vSpace="181" w:wrap="around" w:vAnchor="text" w:hAnchor="page" w:x="1135" w:y="285" w:anchorLock="1"/>
    </w:pPr>
    <w:rPr>
      <w:i/>
    </w:rPr>
  </w:style>
  <w:style w:type="paragraph" w:customStyle="1" w:styleId="MiniTOCTitle">
    <w:name w:val="MiniTOCTitle"/>
    <w:basedOn w:val="Heading4"/>
    <w:rsid w:val="00F419F6"/>
    <w:pPr>
      <w:spacing w:before="240"/>
      <w:outlineLvl w:val="9"/>
    </w:pPr>
    <w:rPr>
      <w:noProof/>
      <w:sz w:val="24"/>
    </w:rPr>
  </w:style>
  <w:style w:type="paragraph" w:customStyle="1" w:styleId="MiniTOCItem">
    <w:name w:val="MiniTOCItem"/>
    <w:basedOn w:val="ListBullet"/>
    <w:rsid w:val="00F419F6"/>
    <w:pPr>
      <w:numPr>
        <w:numId w:val="0"/>
      </w:numPr>
      <w:tabs>
        <w:tab w:val="right" w:leader="dot" w:pos="6521"/>
      </w:tabs>
      <w:spacing w:before="0" w:after="0"/>
    </w:pPr>
  </w:style>
  <w:style w:type="paragraph" w:customStyle="1" w:styleId="TOFTitle">
    <w:name w:val="TOFTitle"/>
    <w:basedOn w:val="TOCTitle"/>
    <w:rsid w:val="00F419F6"/>
  </w:style>
  <w:style w:type="paragraph" w:styleId="TableofFigures">
    <w:name w:val="table of figures"/>
    <w:basedOn w:val="Normal"/>
    <w:next w:val="Normal"/>
    <w:semiHidden/>
    <w:rsid w:val="00F419F6"/>
    <w:pPr>
      <w:tabs>
        <w:tab w:val="right" w:leader="dot" w:pos="9072"/>
      </w:tabs>
      <w:ind w:left="970" w:hanging="403"/>
    </w:pPr>
    <w:rPr>
      <w:rFonts w:ascii="Times New Roman" w:hAnsi="Times New Roman"/>
      <w:b/>
    </w:rPr>
  </w:style>
  <w:style w:type="paragraph" w:styleId="ListNumber">
    <w:name w:val="List Number"/>
    <w:basedOn w:val="List"/>
    <w:rsid w:val="00F419F6"/>
    <w:pPr>
      <w:numPr>
        <w:numId w:val="16"/>
      </w:numPr>
      <w:tabs>
        <w:tab w:val="clear" w:pos="340"/>
      </w:tabs>
    </w:pPr>
  </w:style>
  <w:style w:type="character" w:customStyle="1" w:styleId="WingdingSymbols">
    <w:name w:val="Wingding Symbols"/>
    <w:rsid w:val="00F419F6"/>
    <w:rPr>
      <w:rFonts w:ascii="Wingdings" w:hAnsi="Wingdings"/>
    </w:rPr>
  </w:style>
  <w:style w:type="paragraph" w:customStyle="1" w:styleId="TableHeading">
    <w:name w:val="Table Heading"/>
    <w:basedOn w:val="HeadingBase"/>
    <w:rsid w:val="00F419F6"/>
    <w:pPr>
      <w:keepLines/>
      <w:pBdr>
        <w:bottom w:val="single" w:sz="6" w:space="1" w:color="918585"/>
      </w:pBdr>
      <w:spacing w:before="240"/>
    </w:pPr>
  </w:style>
  <w:style w:type="character" w:customStyle="1" w:styleId="HotSpot">
    <w:name w:val="HotSpot"/>
    <w:rsid w:val="00F419F6"/>
    <w:rPr>
      <w:color w:val="0033CC"/>
      <w:u w:val="none"/>
    </w:rPr>
  </w:style>
  <w:style w:type="paragraph" w:customStyle="1" w:styleId="BodyTextRight">
    <w:name w:val="Body Text Right"/>
    <w:basedOn w:val="BodyText"/>
    <w:rsid w:val="00F419F6"/>
    <w:pPr>
      <w:spacing w:before="0" w:after="0"/>
      <w:jc w:val="right"/>
    </w:pPr>
  </w:style>
  <w:style w:type="paragraph" w:styleId="Index3">
    <w:name w:val="index 3"/>
    <w:basedOn w:val="ListNumber2"/>
    <w:next w:val="Normal"/>
    <w:semiHidden/>
    <w:rsid w:val="00F419F6"/>
    <w:pPr>
      <w:numPr>
        <w:numId w:val="0"/>
      </w:numPr>
      <w:tabs>
        <w:tab w:val="right" w:leader="dot" w:pos="4176"/>
      </w:tabs>
    </w:pPr>
  </w:style>
  <w:style w:type="paragraph" w:styleId="ListNumber2">
    <w:name w:val="List Number 2"/>
    <w:basedOn w:val="List2"/>
    <w:rsid w:val="00F419F6"/>
    <w:pPr>
      <w:numPr>
        <w:numId w:val="11"/>
      </w:numPr>
      <w:tabs>
        <w:tab w:val="clear" w:pos="1060"/>
      </w:tabs>
    </w:pPr>
  </w:style>
  <w:style w:type="paragraph" w:customStyle="1" w:styleId="MarginNote">
    <w:name w:val="Margin Note"/>
    <w:basedOn w:val="BodyText"/>
    <w:rsid w:val="00F41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9F6"/>
    <w:rPr>
      <w:sz w:val="32"/>
    </w:rPr>
  </w:style>
  <w:style w:type="paragraph" w:customStyle="1" w:styleId="HeadingProcedure">
    <w:name w:val="Heading Procedure"/>
    <w:basedOn w:val="HeadingBase"/>
    <w:next w:val="Normal"/>
    <w:rsid w:val="00F419F6"/>
    <w:pPr>
      <w:tabs>
        <w:tab w:val="left" w:pos="0"/>
      </w:tabs>
      <w:spacing w:before="120" w:after="60"/>
    </w:pPr>
    <w:rPr>
      <w:i/>
      <w:color w:val="918585"/>
      <w:sz w:val="22"/>
    </w:rPr>
  </w:style>
  <w:style w:type="paragraph" w:customStyle="1" w:styleId="TableBodyText">
    <w:name w:val="Table Body Text"/>
    <w:basedOn w:val="BodyText"/>
    <w:rsid w:val="00F419F6"/>
    <w:pPr>
      <w:spacing w:before="60" w:after="60"/>
    </w:pPr>
  </w:style>
  <w:style w:type="paragraph" w:styleId="ListContinue">
    <w:name w:val="List Continue"/>
    <w:basedOn w:val="List"/>
    <w:rsid w:val="00F419F6"/>
    <w:pPr>
      <w:ind w:firstLine="0"/>
    </w:pPr>
  </w:style>
  <w:style w:type="paragraph" w:customStyle="1" w:styleId="ListNote">
    <w:name w:val="List Note"/>
    <w:basedOn w:val="List"/>
    <w:rsid w:val="00F419F6"/>
    <w:pPr>
      <w:pBdr>
        <w:top w:val="single" w:sz="6" w:space="2" w:color="918585"/>
        <w:bottom w:val="single" w:sz="6" w:space="2" w:color="918585"/>
      </w:pBdr>
      <w:tabs>
        <w:tab w:val="left" w:pos="1021"/>
      </w:tabs>
      <w:ind w:firstLine="0"/>
    </w:pPr>
  </w:style>
  <w:style w:type="paragraph" w:customStyle="1" w:styleId="Warning">
    <w:name w:val="Warning"/>
    <w:basedOn w:val="BodyText"/>
    <w:rsid w:val="00F419F6"/>
    <w:pPr>
      <w:shd w:val="clear" w:color="auto" w:fill="D9D9D9"/>
      <w:tabs>
        <w:tab w:val="left" w:pos="992"/>
      </w:tabs>
      <w:ind w:left="119" w:right="119"/>
    </w:pPr>
    <w:rPr>
      <w:sz w:val="20"/>
    </w:rPr>
  </w:style>
  <w:style w:type="paragraph" w:customStyle="1" w:styleId="MarginIcons">
    <w:name w:val="Margin Icons"/>
    <w:basedOn w:val="BodyText"/>
    <w:rsid w:val="00F41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9F6"/>
    <w:rPr>
      <w:rFonts w:ascii="Courier New" w:hAnsi="Courier New"/>
    </w:rPr>
  </w:style>
  <w:style w:type="paragraph" w:customStyle="1" w:styleId="NoteBullet">
    <w:name w:val="Note Bullet"/>
    <w:basedOn w:val="Note"/>
    <w:rsid w:val="00F419F6"/>
    <w:pPr>
      <w:tabs>
        <w:tab w:val="clear" w:pos="680"/>
      </w:tabs>
      <w:spacing w:before="60" w:after="60"/>
    </w:pPr>
  </w:style>
  <w:style w:type="paragraph" w:customStyle="1" w:styleId="SubHeading2">
    <w:name w:val="SubHeading2"/>
    <w:basedOn w:val="HeadingBase"/>
    <w:rsid w:val="00F419F6"/>
    <w:pPr>
      <w:spacing w:before="240" w:after="60"/>
    </w:pPr>
    <w:rPr>
      <w:sz w:val="20"/>
    </w:rPr>
  </w:style>
  <w:style w:type="paragraph" w:customStyle="1" w:styleId="SubHeading1">
    <w:name w:val="SubHeading1"/>
    <w:basedOn w:val="HeadingBase"/>
    <w:rsid w:val="00F419F6"/>
    <w:pPr>
      <w:spacing w:before="240" w:after="60"/>
    </w:pPr>
    <w:rPr>
      <w:color w:val="918585"/>
      <w:sz w:val="22"/>
    </w:rPr>
  </w:style>
  <w:style w:type="paragraph" w:customStyle="1" w:styleId="SideHeading">
    <w:name w:val="Side Heading"/>
    <w:basedOn w:val="HeadingBase"/>
    <w:rsid w:val="00F41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9F6"/>
    <w:pPr>
      <w:numPr>
        <w:numId w:val="12"/>
      </w:numPr>
    </w:pPr>
  </w:style>
  <w:style w:type="paragraph" w:styleId="PlainText">
    <w:name w:val="Plain Text"/>
    <w:basedOn w:val="Normal"/>
    <w:link w:val="PlainTextChar"/>
    <w:rsid w:val="00F419F6"/>
    <w:rPr>
      <w:sz w:val="20"/>
    </w:rPr>
  </w:style>
  <w:style w:type="character" w:customStyle="1" w:styleId="PlainTextChar">
    <w:name w:val="Plain Text Char"/>
    <w:basedOn w:val="DefaultParagraphFont"/>
    <w:link w:val="PlainText"/>
    <w:rsid w:val="00F419F6"/>
    <w:rPr>
      <w:rFonts w:ascii="Courier New" w:eastAsia="Times New Roman" w:hAnsi="Courier New" w:cs="Times New Roman"/>
      <w:sz w:val="20"/>
      <w:szCs w:val="20"/>
      <w:lang w:eastAsia="en-US"/>
    </w:rPr>
  </w:style>
  <w:style w:type="character" w:customStyle="1" w:styleId="MenuOption">
    <w:name w:val="Menu Option"/>
    <w:basedOn w:val="DefaultParagraphFont"/>
    <w:rsid w:val="00F419F6"/>
    <w:rPr>
      <w:b/>
      <w:smallCaps/>
    </w:rPr>
  </w:style>
  <w:style w:type="paragraph" w:customStyle="1" w:styleId="TableListNumber">
    <w:name w:val="Table List Number"/>
    <w:basedOn w:val="ListNumber"/>
    <w:rsid w:val="00F419F6"/>
    <w:pPr>
      <w:numPr>
        <w:numId w:val="0"/>
      </w:numPr>
    </w:pPr>
  </w:style>
  <w:style w:type="paragraph" w:styleId="TOC4">
    <w:name w:val="toc 4"/>
    <w:basedOn w:val="TOCBase"/>
    <w:next w:val="Normal"/>
    <w:semiHidden/>
    <w:rsid w:val="00F419F6"/>
    <w:pPr>
      <w:tabs>
        <w:tab w:val="right" w:leader="dot" w:pos="9071"/>
      </w:tabs>
      <w:ind w:left="1701"/>
    </w:pPr>
  </w:style>
  <w:style w:type="paragraph" w:customStyle="1" w:styleId="ListAlpha">
    <w:name w:val="List Alpha"/>
    <w:basedOn w:val="List"/>
    <w:rsid w:val="00F419F6"/>
    <w:pPr>
      <w:numPr>
        <w:numId w:val="10"/>
      </w:numPr>
    </w:pPr>
  </w:style>
  <w:style w:type="paragraph" w:customStyle="1" w:styleId="ListAlpha2">
    <w:name w:val="List Alpha 2"/>
    <w:basedOn w:val="List2"/>
    <w:rsid w:val="00F419F6"/>
    <w:pPr>
      <w:numPr>
        <w:numId w:val="9"/>
      </w:numPr>
    </w:pPr>
  </w:style>
  <w:style w:type="paragraph" w:styleId="List2">
    <w:name w:val="List 2"/>
    <w:basedOn w:val="BodyText"/>
    <w:rsid w:val="00F419F6"/>
    <w:pPr>
      <w:tabs>
        <w:tab w:val="left" w:pos="680"/>
      </w:tabs>
      <w:spacing w:before="60" w:after="60"/>
      <w:ind w:left="680" w:hanging="340"/>
    </w:pPr>
  </w:style>
  <w:style w:type="paragraph" w:styleId="List3">
    <w:name w:val="List 3"/>
    <w:basedOn w:val="BodyText"/>
    <w:rsid w:val="00F419F6"/>
    <w:pPr>
      <w:tabs>
        <w:tab w:val="left" w:pos="1021"/>
      </w:tabs>
      <w:spacing w:before="60" w:after="60"/>
      <w:ind w:left="1020" w:hanging="340"/>
    </w:pPr>
  </w:style>
  <w:style w:type="paragraph" w:styleId="List4">
    <w:name w:val="List 4"/>
    <w:basedOn w:val="BodyText"/>
    <w:rsid w:val="00F419F6"/>
    <w:pPr>
      <w:tabs>
        <w:tab w:val="left" w:pos="1361"/>
      </w:tabs>
      <w:spacing w:before="60" w:after="60"/>
      <w:ind w:left="1361" w:hanging="340"/>
    </w:pPr>
  </w:style>
  <w:style w:type="paragraph" w:styleId="List5">
    <w:name w:val="List 5"/>
    <w:basedOn w:val="BodyText"/>
    <w:rsid w:val="00F419F6"/>
    <w:pPr>
      <w:tabs>
        <w:tab w:val="left" w:pos="1701"/>
      </w:tabs>
      <w:spacing w:before="60" w:after="60"/>
      <w:ind w:left="1701" w:hanging="340"/>
    </w:pPr>
  </w:style>
  <w:style w:type="paragraph" w:styleId="ListBullet4">
    <w:name w:val="List Bullet 4"/>
    <w:basedOn w:val="List4"/>
    <w:rsid w:val="00F419F6"/>
    <w:pPr>
      <w:numPr>
        <w:numId w:val="4"/>
      </w:numPr>
      <w:tabs>
        <w:tab w:val="clear" w:pos="1361"/>
      </w:tabs>
    </w:pPr>
  </w:style>
  <w:style w:type="paragraph" w:styleId="ListBullet5">
    <w:name w:val="List Bullet 5"/>
    <w:basedOn w:val="List5"/>
    <w:rsid w:val="00F419F6"/>
    <w:pPr>
      <w:numPr>
        <w:numId w:val="5"/>
      </w:numPr>
    </w:pPr>
  </w:style>
  <w:style w:type="paragraph" w:styleId="ListContinue2">
    <w:name w:val="List Continue 2"/>
    <w:basedOn w:val="List2"/>
    <w:rsid w:val="00F419F6"/>
    <w:pPr>
      <w:ind w:firstLine="0"/>
    </w:pPr>
  </w:style>
  <w:style w:type="paragraph" w:styleId="ListContinue3">
    <w:name w:val="List Continue 3"/>
    <w:basedOn w:val="List3"/>
    <w:rsid w:val="00F419F6"/>
    <w:pPr>
      <w:ind w:left="1021" w:firstLine="0"/>
    </w:pPr>
  </w:style>
  <w:style w:type="paragraph" w:styleId="ListContinue4">
    <w:name w:val="List Continue 4"/>
    <w:basedOn w:val="List4"/>
    <w:rsid w:val="00F419F6"/>
    <w:pPr>
      <w:ind w:firstLine="0"/>
    </w:pPr>
  </w:style>
  <w:style w:type="paragraph" w:styleId="ListContinue5">
    <w:name w:val="List Continue 5"/>
    <w:basedOn w:val="List5"/>
    <w:rsid w:val="00F419F6"/>
    <w:pPr>
      <w:ind w:firstLine="0"/>
    </w:pPr>
  </w:style>
  <w:style w:type="paragraph" w:styleId="ListNumber3">
    <w:name w:val="List Number 3"/>
    <w:basedOn w:val="List3"/>
    <w:rsid w:val="00F419F6"/>
    <w:pPr>
      <w:numPr>
        <w:numId w:val="6"/>
      </w:numPr>
    </w:pPr>
  </w:style>
  <w:style w:type="paragraph" w:styleId="ListNumber4">
    <w:name w:val="List Number 4"/>
    <w:basedOn w:val="List4"/>
    <w:rsid w:val="00F419F6"/>
    <w:pPr>
      <w:numPr>
        <w:numId w:val="7"/>
      </w:numPr>
    </w:pPr>
  </w:style>
  <w:style w:type="paragraph" w:styleId="ListNumber5">
    <w:name w:val="List Number 5"/>
    <w:basedOn w:val="List5"/>
    <w:rsid w:val="00F419F6"/>
    <w:pPr>
      <w:numPr>
        <w:numId w:val="8"/>
      </w:numPr>
    </w:pPr>
  </w:style>
  <w:style w:type="paragraph" w:styleId="BlockText">
    <w:name w:val="Block Text"/>
    <w:basedOn w:val="Normal"/>
    <w:rsid w:val="00F419F6"/>
    <w:pPr>
      <w:spacing w:after="120"/>
      <w:ind w:left="1440" w:right="1440"/>
    </w:pPr>
  </w:style>
  <w:style w:type="character" w:customStyle="1" w:styleId="Subscript">
    <w:name w:val="Subscript"/>
    <w:basedOn w:val="DefaultParagraphFont"/>
    <w:rsid w:val="00F419F6"/>
    <w:rPr>
      <w:sz w:val="16"/>
      <w:vertAlign w:val="subscript"/>
    </w:rPr>
  </w:style>
  <w:style w:type="character" w:customStyle="1" w:styleId="Superscript">
    <w:name w:val="Superscript"/>
    <w:basedOn w:val="DefaultParagraphFont"/>
    <w:rsid w:val="00F419F6"/>
    <w:rPr>
      <w:sz w:val="16"/>
      <w:vertAlign w:val="superscript"/>
    </w:rPr>
  </w:style>
  <w:style w:type="character" w:customStyle="1" w:styleId="Symbols">
    <w:name w:val="Symbols"/>
    <w:basedOn w:val="DefaultParagraphFont"/>
    <w:rsid w:val="00F419F6"/>
    <w:rPr>
      <w:rFonts w:ascii="Symbol" w:hAnsi="Symbol"/>
    </w:rPr>
  </w:style>
  <w:style w:type="character" w:customStyle="1" w:styleId="MenuOptions">
    <w:name w:val="Menu Options"/>
    <w:basedOn w:val="DefaultParagraphFont"/>
    <w:rsid w:val="00F419F6"/>
    <w:rPr>
      <w:rFonts w:ascii="Arial Narrow" w:hAnsi="Arial Narrow"/>
      <w:smallCaps/>
    </w:rPr>
  </w:style>
  <w:style w:type="character" w:customStyle="1" w:styleId="Buttons">
    <w:name w:val="Buttons"/>
    <w:basedOn w:val="DefaultParagraphFont"/>
    <w:rsid w:val="00F419F6"/>
    <w:rPr>
      <w:b/>
    </w:rPr>
  </w:style>
  <w:style w:type="character" w:customStyle="1" w:styleId="Underlined">
    <w:name w:val="Underlined"/>
    <w:basedOn w:val="DefaultParagraphFont"/>
    <w:rsid w:val="00F419F6"/>
    <w:rPr>
      <w:u w:val="single"/>
    </w:rPr>
  </w:style>
  <w:style w:type="paragraph" w:customStyle="1" w:styleId="TableBodyTextRight">
    <w:name w:val="Table Body Text Right"/>
    <w:basedOn w:val="TableBodyText"/>
    <w:rsid w:val="00F419F6"/>
    <w:pPr>
      <w:widowControl w:val="0"/>
      <w:autoSpaceDE w:val="0"/>
      <w:autoSpaceDN w:val="0"/>
      <w:adjustRightInd w:val="0"/>
      <w:jc w:val="right"/>
    </w:pPr>
    <w:rPr>
      <w:rFonts w:cs="Arial"/>
      <w:szCs w:val="18"/>
    </w:rPr>
  </w:style>
  <w:style w:type="paragraph" w:customStyle="1" w:styleId="CopyrightText">
    <w:name w:val="Copyright Text"/>
    <w:basedOn w:val="BodyText"/>
    <w:rsid w:val="00F419F6"/>
    <w:rPr>
      <w:sz w:val="18"/>
    </w:rPr>
  </w:style>
  <w:style w:type="paragraph" w:customStyle="1" w:styleId="BodySmallRight">
    <w:name w:val="Body Small Right"/>
    <w:basedOn w:val="BodyTextRight"/>
    <w:rsid w:val="00F419F6"/>
    <w:rPr>
      <w:sz w:val="18"/>
      <w:szCs w:val="18"/>
    </w:rPr>
  </w:style>
  <w:style w:type="paragraph" w:customStyle="1" w:styleId="MarginEdition">
    <w:name w:val="Margin Edition"/>
    <w:basedOn w:val="MarginNote"/>
    <w:rsid w:val="00F419F6"/>
    <w:pPr>
      <w:spacing w:before="0" w:after="0"/>
    </w:pPr>
    <w:rPr>
      <w:rFonts w:ascii="Times New Roman" w:hAnsi="Times New Roman"/>
      <w:color w:val="999999"/>
    </w:rPr>
  </w:style>
  <w:style w:type="paragraph" w:customStyle="1" w:styleId="Spacer">
    <w:name w:val="Spacer"/>
    <w:basedOn w:val="Normal"/>
    <w:rsid w:val="00F419F6"/>
    <w:rPr>
      <w:sz w:val="2"/>
      <w:szCs w:val="2"/>
    </w:rPr>
  </w:style>
  <w:style w:type="character" w:customStyle="1" w:styleId="Small">
    <w:name w:val="Small"/>
    <w:basedOn w:val="DefaultParagraphFont"/>
    <w:rsid w:val="00F419F6"/>
    <w:rPr>
      <w:sz w:val="16"/>
    </w:rPr>
  </w:style>
  <w:style w:type="paragraph" w:customStyle="1" w:styleId="WideTable">
    <w:name w:val="Wide Table"/>
    <w:basedOn w:val="Normal"/>
    <w:rsid w:val="00F419F6"/>
    <w:pPr>
      <w:ind w:left="-1418"/>
    </w:pPr>
    <w:rPr>
      <w:sz w:val="2"/>
      <w:szCs w:val="2"/>
    </w:rPr>
  </w:style>
  <w:style w:type="character" w:styleId="PageNumber">
    <w:name w:val="page number"/>
    <w:basedOn w:val="DefaultParagraphFont"/>
    <w:rsid w:val="00F419F6"/>
  </w:style>
  <w:style w:type="paragraph" w:styleId="Quote">
    <w:name w:val="Quote"/>
    <w:basedOn w:val="Heading1"/>
    <w:link w:val="QuoteChar"/>
    <w:qFormat/>
    <w:rsid w:val="00F419F6"/>
    <w:rPr>
      <w:b w:val="0"/>
      <w:sz w:val="72"/>
      <w:szCs w:val="72"/>
      <w:lang w:val="en-NZ"/>
    </w:rPr>
  </w:style>
  <w:style w:type="character" w:customStyle="1" w:styleId="QuoteChar">
    <w:name w:val="Quote Char"/>
    <w:basedOn w:val="DefaultParagraphFont"/>
    <w:link w:val="Quote"/>
    <w:rsid w:val="00F41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9F6"/>
    <w:pPr>
      <w:pageBreakBefore/>
    </w:pPr>
  </w:style>
  <w:style w:type="paragraph" w:customStyle="1" w:styleId="Border">
    <w:name w:val="Border"/>
    <w:basedOn w:val="Normal"/>
    <w:qFormat/>
    <w:rsid w:val="00F41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9F6"/>
    <w:rPr>
      <w:b/>
      <w:bCs/>
      <w:i/>
      <w:iCs/>
      <w:color w:val="auto"/>
    </w:rPr>
  </w:style>
  <w:style w:type="paragraph" w:styleId="IntenseQuote">
    <w:name w:val="Intense Quote"/>
    <w:basedOn w:val="Normal"/>
    <w:next w:val="Normal"/>
    <w:link w:val="IntenseQuoteChar"/>
    <w:uiPriority w:val="30"/>
    <w:qFormat/>
    <w:rsid w:val="00F41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9F6"/>
    <w:rPr>
      <w:smallCaps/>
      <w:color w:val="auto"/>
      <w:u w:val="single"/>
    </w:rPr>
  </w:style>
  <w:style w:type="character" w:styleId="IntenseReference">
    <w:name w:val="Intense Reference"/>
    <w:basedOn w:val="DefaultParagraphFont"/>
    <w:uiPriority w:val="32"/>
    <w:qFormat/>
    <w:rsid w:val="00F419F6"/>
    <w:rPr>
      <w:b/>
      <w:bCs/>
      <w:smallCaps/>
      <w:color w:val="auto"/>
      <w:spacing w:val="5"/>
      <w:u w:val="single"/>
    </w:rPr>
  </w:style>
  <w:style w:type="paragraph" w:customStyle="1" w:styleId="2ColumnHeading">
    <w:name w:val="2Column Heading"/>
    <w:basedOn w:val="BodyText"/>
    <w:qFormat/>
    <w:rsid w:val="00F419F6"/>
    <w:pPr>
      <w:spacing w:after="60"/>
      <w:ind w:left="-2268"/>
    </w:pPr>
    <w:rPr>
      <w:b/>
    </w:rPr>
  </w:style>
  <w:style w:type="paragraph" w:customStyle="1" w:styleId="Heading1TOC">
    <w:name w:val="Heading1 TOC"/>
    <w:basedOn w:val="Normal"/>
    <w:qFormat/>
    <w:rsid w:val="00F419F6"/>
    <w:pPr>
      <w:spacing w:before="240" w:after="120"/>
    </w:pPr>
    <w:rPr>
      <w:rFonts w:ascii="Times New Roman" w:hAnsi="Times New Roman"/>
      <w:b/>
      <w:sz w:val="32"/>
    </w:rPr>
  </w:style>
  <w:style w:type="paragraph" w:customStyle="1" w:styleId="Heading2TOC">
    <w:name w:val="Heading2 TOC"/>
    <w:basedOn w:val="Normal"/>
    <w:qFormat/>
    <w:rsid w:val="00F419F6"/>
    <w:pPr>
      <w:spacing w:before="240" w:after="60"/>
    </w:pPr>
    <w:rPr>
      <w:rFonts w:ascii="Times New Roman" w:hAnsi="Times New Roman"/>
      <w:b/>
      <w:sz w:val="28"/>
    </w:rPr>
  </w:style>
  <w:style w:type="character" w:customStyle="1" w:styleId="Underline">
    <w:name w:val="Underline"/>
    <w:basedOn w:val="DefaultParagraphFont"/>
    <w:qFormat/>
    <w:rsid w:val="00F419F6"/>
    <w:rPr>
      <w:u w:val="single"/>
    </w:rPr>
  </w:style>
  <w:style w:type="character" w:customStyle="1" w:styleId="BoldandItalics">
    <w:name w:val="Bold and Italics"/>
    <w:qFormat/>
    <w:rsid w:val="00F419F6"/>
    <w:rPr>
      <w:b/>
      <w:i/>
      <w:u w:val="none"/>
    </w:rPr>
  </w:style>
  <w:style w:type="paragraph" w:styleId="BalloonText">
    <w:name w:val="Balloon Text"/>
    <w:basedOn w:val="Normal"/>
    <w:link w:val="BalloonTextChar"/>
    <w:rsid w:val="00F419F6"/>
    <w:rPr>
      <w:rFonts w:ascii="Tahoma" w:hAnsi="Tahoma" w:cs="Tahoma"/>
      <w:sz w:val="16"/>
      <w:szCs w:val="16"/>
    </w:rPr>
  </w:style>
  <w:style w:type="character" w:customStyle="1" w:styleId="BalloonTextChar">
    <w:name w:val="Balloon Text Char"/>
    <w:basedOn w:val="DefaultParagraphFont"/>
    <w:link w:val="BalloonText"/>
    <w:rsid w:val="00F41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9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9F6"/>
    <w:rPr>
      <w:b/>
      <w:color w:val="660033"/>
      <w:spacing w:val="0"/>
    </w:rPr>
  </w:style>
  <w:style w:type="paragraph" w:customStyle="1" w:styleId="Nameditemlist">
    <w:name w:val="Named item list"/>
    <w:basedOn w:val="BodyText"/>
    <w:qFormat/>
    <w:rsid w:val="00F419F6"/>
    <w:pPr>
      <w:tabs>
        <w:tab w:val="left" w:pos="2835"/>
      </w:tabs>
      <w:ind w:left="2835" w:hanging="2835"/>
    </w:pPr>
  </w:style>
  <w:style w:type="paragraph" w:customStyle="1" w:styleId="BodyTextnopadding">
    <w:name w:val="Body Text no padding"/>
    <w:basedOn w:val="BodyText"/>
    <w:qFormat/>
    <w:rsid w:val="00F419F6"/>
    <w:pPr>
      <w:spacing w:before="0" w:after="0"/>
    </w:pPr>
  </w:style>
  <w:style w:type="paragraph" w:customStyle="1" w:styleId="BodyTextBold">
    <w:name w:val="Body Text Bold"/>
    <w:basedOn w:val="BodyText"/>
    <w:qFormat/>
    <w:rsid w:val="00F419F6"/>
    <w:rPr>
      <w:b/>
    </w:rPr>
  </w:style>
  <w:style w:type="character" w:styleId="Hyperlink">
    <w:name w:val="Hyperlink"/>
    <w:basedOn w:val="DefaultParagraphFont"/>
    <w:uiPriority w:val="99"/>
    <w:unhideWhenUsed/>
    <w:rsid w:val="00737B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1141</Words>
  <Characters>8108</Characters>
  <Application>Microsoft Office Word</Application>
  <DocSecurity>0</DocSecurity>
  <Lines>270</Lines>
  <Paragraphs>196</Paragraphs>
  <ScaleCrop>false</ScaleCrop>
  <Company>Author-it Software Corporation Ltd.</Company>
  <LinksUpToDate>false</LinksUpToDate>
  <CharactersWithSpaces>9053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HLTANA004 Respond to anaesthesia related emergencies</dc:title>
  <dc:subject>Approved</dc:subject>
  <dc:creator>HumanAbility</dc:creator>
  <cp:keywords>Release: 1</cp:keywords>
  <dc:description>Review Date: 12 April 2008</dc:description>
  <cp:lastModifiedBy>HSD_TPCMSd.prod</cp:lastModifiedBy>
  <cp:revision>3</cp:revision>
  <dcterms:created xsi:type="dcterms:W3CDTF">2025-03-01T21:30:00Z</dcterms:created>
  <dcterms:modified xsi:type="dcterms:W3CDTF">2025-03-01T21:30:00Z</dcterms:modified>
</cp:coreProperties>
</file>