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860" w:rsidP="00274860">
      <w:pPr>
        <w:pStyle w:val="Title"/>
      </w:pPr>
      <w:r>
        <w:fldChar w:fldCharType="begin"/>
      </w:r>
      <w:r>
        <w:instrText xml:space="preserve"> TITLE   \* MERGEFORMAT </w:instrText>
      </w:r>
      <w:r>
        <w:fldChar w:fldCharType="separate"/>
      </w:r>
      <w:r>
        <w:t>Assessment Requirements for HLTANA004 Respond to anaesthesia related emergencies</w:t>
      </w:r>
      <w:r>
        <w:fldChar w:fldCharType="end"/>
      </w:r>
    </w:p>
    <w:p w:rsidR="00274860" w:rsidP="00274860">
      <w:pPr>
        <w:pStyle w:val="Version"/>
        <w:sectPr w:rsidSect="00B65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900" w:rsidP="00B65900">
      <w:pPr>
        <w:pStyle w:val="SuperHeading"/>
      </w:pPr>
      <w:r w:rsidRPr="00B65900">
        <w:t>Assessment Requirements for HLTANA004 Respond to anaesthesia related emergencies</w:t>
      </w:r>
    </w:p>
    <w:p w:rsidR="00000000" w:rsidRPr="00B65900" w:rsidP="00B65900">
      <w:pPr>
        <w:pStyle w:val="Heading1"/>
      </w:pPr>
      <w:bookmarkStart w:id="1" w:name="O_742162"/>
      <w:bookmarkEnd w:id="1"/>
      <w:r w:rsidRPr="00B65900">
        <w:t>Modification History</w:t>
      </w:r>
    </w:p>
    <w:tbl>
      <w:tblPr>
        <w:tblW w:w="0" w:type="auto"/>
        <w:tblLayout w:type="fixed"/>
        <w:tblCellMar>
          <w:left w:w="62" w:type="dxa"/>
          <w:right w:w="62" w:type="dxa"/>
        </w:tblCellMar>
        <w:tblLook w:val="0000"/>
      </w:tblPr>
      <w:tblGrid>
        <w:gridCol w:w="2790"/>
        <w:gridCol w:w="6344"/>
      </w:tblGrid>
      <w:tr w:rsidTr="00B659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00" w:rsidP="00B65900">
            <w:pPr>
              <w:pStyle w:val="BodyText"/>
            </w:pPr>
            <w:r w:rsidRPr="00B659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00">
            <w:pPr>
              <w:pStyle w:val="BodyText"/>
              <w:rPr>
                <w:lang w:val="en-NZ"/>
              </w:rPr>
            </w:pPr>
            <w:r w:rsidRPr="00B65900">
              <w:rPr>
                <w:rStyle w:val="SpecialBold"/>
              </w:rPr>
              <w:t>Comments</w:t>
            </w:r>
          </w:p>
        </w:tc>
      </w:tr>
      <w:tr w:rsidTr="00B659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00">
            <w:pPr>
              <w:pStyle w:val="BodyText"/>
              <w:rPr>
                <w:lang w:val="en-NZ"/>
              </w:rPr>
            </w:pPr>
            <w:r w:rsidRPr="00B659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00" w:rsidP="00B65900">
            <w:pPr>
              <w:pStyle w:val="BodyText"/>
            </w:pPr>
            <w:r w:rsidRPr="00B65900">
              <w:t xml:space="preserve">This version was released in </w:t>
            </w:r>
            <w:r w:rsidRPr="00B65900">
              <w:rPr>
                <w:rStyle w:val="Emphasis"/>
              </w:rPr>
              <w:t>HLT Health Training Package release 2.0</w:t>
            </w:r>
            <w:r w:rsidRPr="00B65900">
              <w:t xml:space="preserve"> and meets the requirements of the 2012 Standards for Training Packages.</w:t>
            </w:r>
          </w:p>
          <w:p w:rsidR="00000000" w:rsidRPr="00B65900" w:rsidP="00B65900">
            <w:pPr>
              <w:pStyle w:val="BodyText"/>
            </w:pPr>
            <w:r w:rsidRPr="00B65900">
              <w:t>Significant changes to the elements and performance criteria. New evidence requirements for assessment, including volume and frequency requirements. Significant change to knowledge ev</w:t>
            </w:r>
            <w:r w:rsidRPr="00B65900">
              <w:t>idence.</w:t>
            </w:r>
          </w:p>
        </w:tc>
      </w:tr>
    </w:tbl>
    <w:p w:rsidR="00274860" w:rsidP="00B65900">
      <w:pPr>
        <w:pStyle w:val="BodyText"/>
      </w:pPr>
    </w:p>
    <w:p w:rsidR="00274860" w:rsidP="00B65900">
      <w:pPr>
        <w:pStyle w:val="BodyText"/>
      </w:pPr>
    </w:p>
    <w:p w:rsidR="00000000" w:rsidRPr="00B65900" w:rsidP="00B65900">
      <w:pPr>
        <w:pStyle w:val="Heading1"/>
      </w:pPr>
      <w:bookmarkStart w:id="2" w:name="O_742163"/>
      <w:bookmarkEnd w:id="2"/>
      <w:r w:rsidRPr="00B65900">
        <w:t>Performance Evidence</w:t>
      </w:r>
    </w:p>
    <w:p w:rsidR="00000000" w:rsidRPr="00B65900" w:rsidP="00274860">
      <w:pPr>
        <w:pStyle w:val="BodyText"/>
      </w:pPr>
      <w:r w:rsidRPr="00B65900">
        <w:t xml:space="preserve">The candidate must show evidence of the ability to complete tasks outlined in elements and performance criteria of this unit, manage tasks and manage contingencies in the context of the job role. There must </w:t>
      </w:r>
      <w:r w:rsidRPr="00B65900">
        <w:t>be evidence that the candidate has:</w:t>
      </w:r>
    </w:p>
    <w:p w:rsidR="00000000" w:rsidRPr="00B65900" w:rsidP="00B65900">
      <w:pPr>
        <w:pStyle w:val="ListBullet"/>
      </w:pPr>
      <w:r w:rsidRPr="00B65900">
        <w:t>determined and actioned response to diverse emergency situations, including:</w:t>
      </w:r>
    </w:p>
    <w:p w:rsidR="00000000" w:rsidRPr="00B65900" w:rsidP="00B65900">
      <w:pPr>
        <w:pStyle w:val="ListBullet2"/>
      </w:pPr>
      <w:r w:rsidRPr="00B65900">
        <w:t>respiratory/ airway emergencies:</w:t>
      </w:r>
    </w:p>
    <w:p w:rsidR="00000000" w:rsidRPr="00B65900" w:rsidP="00B65900">
      <w:pPr>
        <w:pStyle w:val="ListBullet3"/>
      </w:pPr>
      <w:r w:rsidRPr="00B65900">
        <w:t>difficult/compromised airway</w:t>
      </w:r>
    </w:p>
    <w:p w:rsidR="00000000" w:rsidRPr="00B65900" w:rsidP="00B65900">
      <w:pPr>
        <w:pStyle w:val="ListBullet3"/>
      </w:pPr>
      <w:r w:rsidRPr="00B65900">
        <w:t>can’t intubate can’t ventilate</w:t>
      </w:r>
    </w:p>
    <w:p w:rsidR="00000000" w:rsidRPr="00B65900" w:rsidP="00B65900">
      <w:pPr>
        <w:pStyle w:val="ListBullet3"/>
      </w:pPr>
      <w:r w:rsidRPr="00B65900">
        <w:t xml:space="preserve">bronchospasm </w:t>
      </w:r>
    </w:p>
    <w:p w:rsidR="00000000" w:rsidRPr="00B65900" w:rsidP="00B65900">
      <w:pPr>
        <w:pStyle w:val="ListBullet3"/>
      </w:pPr>
      <w:r w:rsidRPr="00B65900">
        <w:t xml:space="preserve">pneumothorax </w:t>
      </w:r>
    </w:p>
    <w:p w:rsidR="00000000" w:rsidRPr="00B65900" w:rsidP="00B65900">
      <w:pPr>
        <w:pStyle w:val="ListBullet3"/>
      </w:pPr>
      <w:r w:rsidRPr="00B65900">
        <w:t>laryngospasm</w:t>
      </w:r>
    </w:p>
    <w:p w:rsidR="00000000" w:rsidRPr="00B65900" w:rsidP="00B65900">
      <w:pPr>
        <w:pStyle w:val="ListBullet3"/>
      </w:pPr>
      <w:r w:rsidRPr="00B65900">
        <w:t>aspiration</w:t>
      </w:r>
    </w:p>
    <w:p w:rsidR="00000000" w:rsidRPr="00B65900" w:rsidP="00B65900">
      <w:pPr>
        <w:pStyle w:val="ListBullet3"/>
      </w:pPr>
      <w:r w:rsidRPr="00B65900">
        <w:t>suxamethonium apnoea</w:t>
      </w:r>
    </w:p>
    <w:p w:rsidR="00000000" w:rsidRPr="00B65900" w:rsidP="00B65900">
      <w:pPr>
        <w:pStyle w:val="ListBullet3"/>
      </w:pPr>
      <w:r w:rsidRPr="00B65900">
        <w:t>hypoxia/hypoxaemia</w:t>
      </w:r>
    </w:p>
    <w:p w:rsidR="00000000" w:rsidRPr="00B65900" w:rsidP="00B65900">
      <w:pPr>
        <w:pStyle w:val="ListBullet3"/>
      </w:pPr>
      <w:r w:rsidRPr="00B65900">
        <w:t>hypercarbia</w:t>
      </w:r>
    </w:p>
    <w:p w:rsidR="00000000" w:rsidRPr="00B65900" w:rsidP="00B65900">
      <w:pPr>
        <w:pStyle w:val="ListBullet2"/>
      </w:pPr>
      <w:r w:rsidRPr="00B65900">
        <w:t>cardiac emergencies:</w:t>
      </w:r>
    </w:p>
    <w:p w:rsidR="00000000" w:rsidRPr="00B65900" w:rsidP="00B65900">
      <w:pPr>
        <w:pStyle w:val="ListBullet3"/>
      </w:pPr>
      <w:r w:rsidRPr="00B65900">
        <w:t>ventricular fibrillation</w:t>
      </w:r>
    </w:p>
    <w:p w:rsidR="00000000" w:rsidRPr="00B65900" w:rsidP="00B65900">
      <w:pPr>
        <w:pStyle w:val="ListBullet3"/>
      </w:pPr>
      <w:r w:rsidRPr="00B65900">
        <w:t>ventricular tachycardia</w:t>
      </w:r>
    </w:p>
    <w:p w:rsidR="00000000" w:rsidRPr="00B65900" w:rsidP="00B65900">
      <w:pPr>
        <w:pStyle w:val="ListBullet3"/>
      </w:pPr>
      <w:r w:rsidRPr="00B65900">
        <w:t>pulseless electrical activity</w:t>
      </w:r>
    </w:p>
    <w:p w:rsidR="00000000" w:rsidRPr="00B65900" w:rsidP="00B65900">
      <w:pPr>
        <w:pStyle w:val="ListBullet3"/>
      </w:pPr>
      <w:r w:rsidRPr="00B65900">
        <w:t>asystole</w:t>
      </w:r>
    </w:p>
    <w:p w:rsidR="00000000" w:rsidRPr="00B65900" w:rsidP="00B65900">
      <w:pPr>
        <w:pStyle w:val="ListBullet3"/>
      </w:pPr>
      <w:r w:rsidRPr="00B65900">
        <w:t>third degree heart block</w:t>
      </w:r>
    </w:p>
    <w:p w:rsidR="00000000" w:rsidRPr="00B65900" w:rsidP="00B65900">
      <w:pPr>
        <w:pStyle w:val="ListBullet3"/>
      </w:pPr>
      <w:r w:rsidRPr="00B65900">
        <w:t>cardiac arrhythmias which pose threat to life for individual clients</w:t>
      </w:r>
    </w:p>
    <w:p w:rsidR="00000000" w:rsidRPr="00B65900" w:rsidP="00B65900">
      <w:pPr>
        <w:pStyle w:val="ListBullet3"/>
      </w:pPr>
      <w:r w:rsidRPr="00B65900">
        <w:t>perioperative myocardial infarcts</w:t>
      </w:r>
    </w:p>
    <w:p w:rsidR="00000000" w:rsidRPr="00B65900" w:rsidP="00B65900">
      <w:pPr>
        <w:pStyle w:val="ListBullet3"/>
      </w:pPr>
      <w:r w:rsidRPr="00B65900">
        <w:t>cardiac tamponade</w:t>
      </w:r>
    </w:p>
    <w:p w:rsidR="00000000" w:rsidRPr="00B65900" w:rsidP="00B65900">
      <w:pPr>
        <w:pStyle w:val="ListBullet2"/>
      </w:pPr>
      <w:r w:rsidRPr="00B65900">
        <w:t>malignant hyperthermia</w:t>
      </w:r>
    </w:p>
    <w:p w:rsidR="00000000" w:rsidRPr="00B65900" w:rsidP="00B65900">
      <w:pPr>
        <w:pStyle w:val="ListBullet2"/>
      </w:pPr>
      <w:r w:rsidRPr="00B65900">
        <w:t>hypothermia</w:t>
      </w:r>
    </w:p>
    <w:p w:rsidR="00000000" w:rsidRPr="00B65900" w:rsidP="00B65900">
      <w:pPr>
        <w:pStyle w:val="ListBullet2"/>
      </w:pPr>
      <w:r w:rsidRPr="00B65900">
        <w:t>hypovolaemic shock/massive blood loss</w:t>
      </w:r>
    </w:p>
    <w:p w:rsidR="00000000" w:rsidRPr="00B65900" w:rsidP="00B65900">
      <w:pPr>
        <w:pStyle w:val="ListBullet2"/>
      </w:pPr>
      <w:r w:rsidRPr="00B65900">
        <w:t>severe hypotension</w:t>
      </w:r>
    </w:p>
    <w:p w:rsidR="00000000" w:rsidRPr="00B65900" w:rsidP="00B65900">
      <w:pPr>
        <w:pStyle w:val="ListBullet2"/>
      </w:pPr>
      <w:r w:rsidRPr="00B65900">
        <w:t>severe hypertension</w:t>
      </w:r>
    </w:p>
    <w:p w:rsidR="00000000" w:rsidRPr="00B65900" w:rsidP="00B65900">
      <w:pPr>
        <w:pStyle w:val="ListBullet2"/>
      </w:pPr>
      <w:r w:rsidRPr="00B65900">
        <w:t>pulmonary hypertension</w:t>
      </w:r>
    </w:p>
    <w:p w:rsidR="00000000" w:rsidRPr="00B65900" w:rsidP="00B65900">
      <w:pPr>
        <w:pStyle w:val="ListBullet2"/>
      </w:pPr>
      <w:r w:rsidRPr="00B65900">
        <w:t xml:space="preserve">anaphylactic shock </w:t>
      </w:r>
    </w:p>
    <w:p w:rsidR="00000000" w:rsidRPr="00B65900" w:rsidP="00B65900">
      <w:pPr>
        <w:pStyle w:val="ListBullet2"/>
      </w:pPr>
      <w:r w:rsidRPr="00B65900">
        <w:t>thromboembolism or pulmonary embolism – fat, thrombus, air/gas, amniotic fluid</w:t>
      </w:r>
    </w:p>
    <w:p w:rsidR="00000000" w:rsidRPr="00B65900" w:rsidP="00B65900">
      <w:pPr>
        <w:pStyle w:val="ListBullet2"/>
      </w:pPr>
      <w:r w:rsidRPr="00B65900">
        <w:t>pulmonary oedema &amp; negative pressure pulmonary oedema</w:t>
      </w:r>
    </w:p>
    <w:p w:rsidR="00000000" w:rsidRPr="00B65900" w:rsidP="00B65900">
      <w:pPr>
        <w:pStyle w:val="ListBullet2"/>
      </w:pPr>
      <w:r w:rsidRPr="00B65900">
        <w:t>local anaesthetic toxicity</w:t>
      </w:r>
    </w:p>
    <w:p w:rsidR="00000000" w:rsidRPr="00B65900" w:rsidP="00B65900">
      <w:pPr>
        <w:pStyle w:val="ListBullet2"/>
      </w:pPr>
      <w:r w:rsidRPr="00B65900">
        <w:t>total spinal</w:t>
      </w:r>
    </w:p>
    <w:p w:rsidR="00000000" w:rsidRPr="00B65900" w:rsidP="00B65900">
      <w:pPr>
        <w:pStyle w:val="ListBullet2"/>
      </w:pPr>
      <w:r w:rsidRPr="00B65900">
        <w:t>metabolic and endocrine abnormalities</w:t>
      </w:r>
    </w:p>
    <w:p w:rsidR="00000000" w:rsidRPr="00B65900" w:rsidP="00B65900">
      <w:pPr>
        <w:pStyle w:val="ListBullet2"/>
      </w:pPr>
      <w:r w:rsidRPr="00B65900">
        <w:t>drug administration erro</w:t>
      </w:r>
      <w:r w:rsidRPr="00B65900">
        <w:t xml:space="preserve">r and adverse drug reaction  </w:t>
      </w:r>
    </w:p>
    <w:p w:rsidR="00000000" w:rsidRPr="00B65900" w:rsidP="00B65900">
      <w:pPr>
        <w:pStyle w:val="ListBullet2"/>
      </w:pPr>
      <w:r w:rsidRPr="00B65900">
        <w:t>septic shower</w:t>
      </w:r>
    </w:p>
    <w:p w:rsidR="00000000" w:rsidRPr="00B65900" w:rsidP="00B65900">
      <w:pPr>
        <w:pStyle w:val="ListBullet"/>
      </w:pPr>
      <w:r w:rsidRPr="00B65900">
        <w:t>followed established procedures for use of emergency equipment/ consumables, including:</w:t>
      </w:r>
    </w:p>
    <w:p w:rsidR="00000000" w:rsidRPr="00B65900" w:rsidP="00B65900">
      <w:pPr>
        <w:pStyle w:val="ListBullet2"/>
      </w:pPr>
      <w:r w:rsidRPr="00B65900">
        <w:t xml:space="preserve">difficult airway trolley and other airway and suction equipment </w:t>
      </w:r>
    </w:p>
    <w:p w:rsidR="00000000" w:rsidRPr="00B65900" w:rsidP="00B65900">
      <w:pPr>
        <w:pStyle w:val="ListBullet2"/>
      </w:pPr>
      <w:r w:rsidRPr="00B65900">
        <w:t>cardiac arrest trolley and defibrillator</w:t>
      </w:r>
    </w:p>
    <w:p w:rsidR="00000000" w:rsidRPr="00B65900" w:rsidP="00B65900">
      <w:pPr>
        <w:pStyle w:val="ListBullet2"/>
      </w:pPr>
      <w:r w:rsidRPr="00B65900">
        <w:t>heating/cooling equipment</w:t>
      </w:r>
    </w:p>
    <w:p w:rsidR="00000000" w:rsidRPr="00B65900" w:rsidP="00B65900">
      <w:pPr>
        <w:pStyle w:val="ListBullet2"/>
      </w:pPr>
      <w:r w:rsidRPr="00B65900">
        <w:t>infusion/transfusion equipment</w:t>
      </w:r>
    </w:p>
    <w:p w:rsidR="00000000" w:rsidRPr="00B65900" w:rsidP="00B65900">
      <w:pPr>
        <w:pStyle w:val="ListBullet2"/>
      </w:pPr>
      <w:r w:rsidRPr="00B65900">
        <w:t>monitoring equipment</w:t>
      </w:r>
    </w:p>
    <w:p w:rsidR="00000000" w:rsidRPr="00B65900" w:rsidP="00B65900">
      <w:pPr>
        <w:pStyle w:val="ListBullet2"/>
      </w:pPr>
      <w:r w:rsidRPr="00B65900">
        <w:t xml:space="preserve">medications </w:t>
      </w:r>
    </w:p>
    <w:p w:rsidR="00000000" w:rsidRPr="00B65900" w:rsidP="00B65900">
      <w:pPr>
        <w:pStyle w:val="ListBullet2"/>
      </w:pPr>
      <w:r w:rsidRPr="00B65900">
        <w:t>chest drains</w:t>
      </w:r>
    </w:p>
    <w:p w:rsidR="00000000" w:rsidRPr="00B65900" w:rsidP="00B65900">
      <w:pPr>
        <w:pStyle w:val="AllowPageBreak"/>
      </w:pPr>
    </w:p>
    <w:p w:rsidR="00000000" w:rsidRPr="00B65900" w:rsidP="00B65900">
      <w:pPr>
        <w:pStyle w:val="Heading1"/>
      </w:pPr>
      <w:bookmarkStart w:id="3" w:name="O_742164"/>
      <w:bookmarkEnd w:id="3"/>
      <w:r w:rsidRPr="00B65900">
        <w:t>Knowledge Evidence</w:t>
      </w:r>
    </w:p>
    <w:p w:rsidR="00000000" w:rsidRPr="00B65900" w:rsidP="00274860">
      <w:pPr>
        <w:pStyle w:val="BodyText"/>
      </w:pPr>
      <w:r w:rsidRPr="00B65900">
        <w:t>The candidate must be able to demonstrate essential knowledge required to effectively complete tasks outlined in ele</w:t>
      </w:r>
      <w:r w:rsidRPr="00B65900">
        <w:t xml:space="preserve">ments and performance criteria of this unit, manage tasks and manage contingencies in the context of the work role. This includes knowledge of: </w:t>
      </w:r>
    </w:p>
    <w:p w:rsidR="00000000" w:rsidRPr="00B65900" w:rsidP="00B65900">
      <w:pPr>
        <w:pStyle w:val="ListBullet"/>
      </w:pPr>
      <w:r w:rsidRPr="00B65900">
        <w:t>legal and ethical considerations (national, state/territory) for emergencies, and how these are applied in org</w:t>
      </w:r>
      <w:r w:rsidRPr="00B65900">
        <w:t>anisations:</w:t>
      </w:r>
    </w:p>
    <w:p w:rsidR="00000000" w:rsidRPr="00B65900" w:rsidP="00B65900">
      <w:pPr>
        <w:pStyle w:val="ListBullet2"/>
      </w:pPr>
      <w:r w:rsidRPr="00B65900">
        <w:t>codes of practice</w:t>
      </w:r>
    </w:p>
    <w:p w:rsidR="00000000" w:rsidRPr="00B65900" w:rsidP="00B65900">
      <w:pPr>
        <w:pStyle w:val="ListBullet2"/>
      </w:pPr>
      <w:r w:rsidRPr="00B65900">
        <w:t>duty of care</w:t>
      </w:r>
    </w:p>
    <w:p w:rsidR="00000000" w:rsidRPr="00B65900" w:rsidP="00B65900">
      <w:pPr>
        <w:pStyle w:val="ListBullet2"/>
      </w:pPr>
      <w:r w:rsidRPr="00B65900">
        <w:t xml:space="preserve">infection prevention and control </w:t>
      </w:r>
    </w:p>
    <w:p w:rsidR="00000000" w:rsidRPr="00B65900" w:rsidP="00B65900">
      <w:pPr>
        <w:pStyle w:val="ListBullet2"/>
      </w:pPr>
      <w:r w:rsidRPr="00B65900">
        <w:t xml:space="preserve">informed consent </w:t>
      </w:r>
    </w:p>
    <w:p w:rsidR="00000000" w:rsidRPr="00B65900" w:rsidP="00B65900">
      <w:pPr>
        <w:pStyle w:val="ListBullet2"/>
      </w:pPr>
      <w:r w:rsidRPr="00B65900">
        <w:t xml:space="preserve">mandatory reporting </w:t>
      </w:r>
    </w:p>
    <w:p w:rsidR="00000000" w:rsidRPr="00B65900" w:rsidP="00B65900">
      <w:pPr>
        <w:pStyle w:val="ListBullet2"/>
      </w:pPr>
      <w:r w:rsidRPr="00B65900">
        <w:t>privacy, confidentiality and disclosure</w:t>
      </w:r>
    </w:p>
    <w:p w:rsidR="00000000" w:rsidRPr="00B65900" w:rsidP="00B65900">
      <w:pPr>
        <w:pStyle w:val="ListBullet2"/>
      </w:pPr>
      <w:r w:rsidRPr="00B65900">
        <w:t xml:space="preserve">records management </w:t>
      </w:r>
    </w:p>
    <w:p w:rsidR="00000000" w:rsidRPr="00B65900" w:rsidP="00B65900">
      <w:pPr>
        <w:pStyle w:val="ListBullet2"/>
      </w:pPr>
      <w:r w:rsidRPr="00B65900">
        <w:t>rights and responsibilities of workers, employers and clients</w:t>
      </w:r>
    </w:p>
    <w:p w:rsidR="00000000" w:rsidRPr="00B65900" w:rsidP="00B65900">
      <w:pPr>
        <w:pStyle w:val="ListBullet2"/>
      </w:pPr>
      <w:r w:rsidRPr="00B65900">
        <w:t>work role boundaries – responsibilities and limitations in emergencies</w:t>
      </w:r>
    </w:p>
    <w:p w:rsidR="00000000" w:rsidRPr="00B65900" w:rsidP="00B65900">
      <w:pPr>
        <w:pStyle w:val="ListBullet2"/>
      </w:pPr>
      <w:r w:rsidRPr="00B65900">
        <w:t>work health and safety</w:t>
      </w:r>
    </w:p>
    <w:p w:rsidR="00000000" w:rsidRPr="00B65900" w:rsidP="00B65900">
      <w:pPr>
        <w:pStyle w:val="ListBullet"/>
      </w:pPr>
      <w:r w:rsidRPr="00B65900">
        <w:t>the following anaesthetic emergencies, their signs, symptoms, physiological and non-physiological causes, treatment or resolution and prediction:</w:t>
      </w:r>
    </w:p>
    <w:p w:rsidR="00000000" w:rsidRPr="00B65900" w:rsidP="00B65900">
      <w:pPr>
        <w:pStyle w:val="ListBullet2"/>
      </w:pPr>
      <w:r w:rsidRPr="00B65900">
        <w:t>respiratory/ a</w:t>
      </w:r>
      <w:r w:rsidRPr="00B65900">
        <w:t>irway emergencies:</w:t>
      </w:r>
    </w:p>
    <w:p w:rsidR="00000000" w:rsidRPr="00B65900" w:rsidP="00B65900">
      <w:pPr>
        <w:pStyle w:val="ListBullet3"/>
      </w:pPr>
      <w:r w:rsidRPr="00B65900">
        <w:t>difficult/compromised airway</w:t>
      </w:r>
    </w:p>
    <w:p w:rsidR="00000000" w:rsidRPr="00B65900" w:rsidP="00B65900">
      <w:pPr>
        <w:pStyle w:val="ListBullet3"/>
      </w:pPr>
      <w:r w:rsidRPr="00B65900">
        <w:t>can’t intubate can’t ventilate</w:t>
      </w:r>
    </w:p>
    <w:p w:rsidR="00000000" w:rsidRPr="00B65900" w:rsidP="00B65900">
      <w:pPr>
        <w:pStyle w:val="ListBullet3"/>
      </w:pPr>
      <w:r w:rsidRPr="00B65900">
        <w:t xml:space="preserve">bronchospasm </w:t>
      </w:r>
    </w:p>
    <w:p w:rsidR="00000000" w:rsidRPr="00B65900" w:rsidP="00B65900">
      <w:pPr>
        <w:pStyle w:val="ListBullet3"/>
      </w:pPr>
      <w:r w:rsidRPr="00B65900">
        <w:t xml:space="preserve">pneumothorax </w:t>
      </w:r>
    </w:p>
    <w:p w:rsidR="00000000" w:rsidRPr="00B65900" w:rsidP="00B65900">
      <w:pPr>
        <w:pStyle w:val="ListBullet3"/>
      </w:pPr>
      <w:r w:rsidRPr="00B65900">
        <w:t>laryngospasm</w:t>
      </w:r>
    </w:p>
    <w:p w:rsidR="00000000" w:rsidRPr="00B65900" w:rsidP="00B65900">
      <w:pPr>
        <w:pStyle w:val="ListBullet3"/>
      </w:pPr>
      <w:r w:rsidRPr="00B65900">
        <w:t>aspiration</w:t>
      </w:r>
    </w:p>
    <w:p w:rsidR="00000000" w:rsidRPr="00B65900" w:rsidP="00B65900">
      <w:pPr>
        <w:pStyle w:val="ListBullet3"/>
      </w:pPr>
      <w:r w:rsidRPr="00B65900">
        <w:t>suxamethonium apnoea</w:t>
      </w:r>
    </w:p>
    <w:p w:rsidR="00000000" w:rsidRPr="00B65900" w:rsidP="00B65900">
      <w:pPr>
        <w:pStyle w:val="ListBullet3"/>
      </w:pPr>
      <w:r w:rsidRPr="00B65900">
        <w:t>hypoxia/hypoxaemia</w:t>
      </w:r>
    </w:p>
    <w:p w:rsidR="00000000" w:rsidRPr="00B65900" w:rsidP="00B65900">
      <w:pPr>
        <w:pStyle w:val="ListBullet3"/>
      </w:pPr>
      <w:r w:rsidRPr="00B65900">
        <w:t>hypercarbia</w:t>
      </w:r>
    </w:p>
    <w:p w:rsidR="00000000" w:rsidRPr="00B65900" w:rsidP="00B65900">
      <w:pPr>
        <w:pStyle w:val="ListBullet2"/>
      </w:pPr>
      <w:r w:rsidRPr="00B65900">
        <w:t>cardiac emergencies:</w:t>
      </w:r>
    </w:p>
    <w:p w:rsidR="00000000" w:rsidRPr="00B65900" w:rsidP="00B65900">
      <w:pPr>
        <w:pStyle w:val="ListBullet3"/>
      </w:pPr>
      <w:r w:rsidRPr="00B65900">
        <w:t>ventricular fibrillation</w:t>
      </w:r>
    </w:p>
    <w:p w:rsidR="00000000" w:rsidRPr="00B65900" w:rsidP="00B65900">
      <w:pPr>
        <w:pStyle w:val="ListBullet3"/>
      </w:pPr>
      <w:r w:rsidRPr="00B65900">
        <w:t>ventricular tachycardia</w:t>
      </w:r>
    </w:p>
    <w:p w:rsidR="00000000" w:rsidRPr="00B65900" w:rsidP="00B65900">
      <w:pPr>
        <w:pStyle w:val="ListBullet3"/>
      </w:pPr>
      <w:r w:rsidRPr="00B65900">
        <w:t>pulseless electrical activity</w:t>
      </w:r>
    </w:p>
    <w:p w:rsidR="00000000" w:rsidRPr="00B65900" w:rsidP="00B65900">
      <w:pPr>
        <w:pStyle w:val="ListBullet3"/>
      </w:pPr>
      <w:r w:rsidRPr="00B65900">
        <w:t>asystole</w:t>
      </w:r>
    </w:p>
    <w:p w:rsidR="00000000" w:rsidRPr="00B65900" w:rsidP="00B65900">
      <w:pPr>
        <w:pStyle w:val="ListBullet3"/>
      </w:pPr>
      <w:r w:rsidRPr="00B65900">
        <w:t>third degree heart block</w:t>
      </w:r>
    </w:p>
    <w:p w:rsidR="00000000" w:rsidRPr="00B65900" w:rsidP="00B65900">
      <w:pPr>
        <w:pStyle w:val="ListBullet3"/>
      </w:pPr>
      <w:r w:rsidRPr="00B65900">
        <w:t>cardiac arrhythmias which pose threat to life for individual clients</w:t>
      </w:r>
    </w:p>
    <w:p w:rsidR="00000000" w:rsidRPr="00B65900" w:rsidP="00B65900">
      <w:pPr>
        <w:pStyle w:val="ListBullet3"/>
      </w:pPr>
      <w:r w:rsidRPr="00B65900">
        <w:t>perioperative myocardial infarcts</w:t>
      </w:r>
    </w:p>
    <w:p w:rsidR="00000000" w:rsidRPr="00B65900" w:rsidP="00B65900">
      <w:pPr>
        <w:pStyle w:val="ListBullet3"/>
      </w:pPr>
      <w:r w:rsidRPr="00B65900">
        <w:t>cardiac tamponade</w:t>
      </w:r>
    </w:p>
    <w:p w:rsidR="00000000" w:rsidRPr="00B65900" w:rsidP="00B65900">
      <w:pPr>
        <w:pStyle w:val="ListBullet2"/>
      </w:pPr>
      <w:r w:rsidRPr="00B65900">
        <w:t>malignant hyperthermia</w:t>
      </w:r>
    </w:p>
    <w:p w:rsidR="00000000" w:rsidRPr="00B65900" w:rsidP="00B65900">
      <w:pPr>
        <w:pStyle w:val="ListBullet2"/>
      </w:pPr>
      <w:r w:rsidRPr="00B65900">
        <w:t>hypothermia</w:t>
      </w:r>
    </w:p>
    <w:p w:rsidR="00000000" w:rsidRPr="00B65900" w:rsidP="00B65900">
      <w:pPr>
        <w:pStyle w:val="ListBullet2"/>
      </w:pPr>
      <w:r w:rsidRPr="00B65900">
        <w:t>hypovolaemic shock/massive blood</w:t>
      </w:r>
      <w:r w:rsidRPr="00B65900">
        <w:t xml:space="preserve"> loss)</w:t>
      </w:r>
    </w:p>
    <w:p w:rsidR="00000000" w:rsidRPr="00B65900" w:rsidP="00B65900">
      <w:pPr>
        <w:pStyle w:val="ListBullet2"/>
      </w:pPr>
      <w:r w:rsidRPr="00B65900">
        <w:t>severe hypotension</w:t>
      </w:r>
    </w:p>
    <w:p w:rsidR="00000000" w:rsidRPr="00B65900" w:rsidP="00B65900">
      <w:pPr>
        <w:pStyle w:val="ListBullet2"/>
      </w:pPr>
      <w:r w:rsidRPr="00B65900">
        <w:t>severe hypertension</w:t>
      </w:r>
    </w:p>
    <w:p w:rsidR="00000000" w:rsidRPr="00B65900" w:rsidP="00B65900">
      <w:pPr>
        <w:pStyle w:val="ListBullet2"/>
      </w:pPr>
      <w:r w:rsidRPr="00B65900">
        <w:t>pulmonary hypertension</w:t>
      </w:r>
    </w:p>
    <w:p w:rsidR="00000000" w:rsidRPr="00B65900" w:rsidP="00B65900">
      <w:pPr>
        <w:pStyle w:val="ListBullet2"/>
      </w:pPr>
      <w:r w:rsidRPr="00B65900">
        <w:t xml:space="preserve">anaphylactic shock </w:t>
      </w:r>
    </w:p>
    <w:p w:rsidR="00000000" w:rsidRPr="00B65900" w:rsidP="00B65900">
      <w:pPr>
        <w:pStyle w:val="ListBullet2"/>
      </w:pPr>
      <w:r w:rsidRPr="00B65900">
        <w:t>thromboembolism or pulmonary embolism – fat, thrombus, air/gas, amniotic fluid</w:t>
      </w:r>
    </w:p>
    <w:p w:rsidR="00000000" w:rsidRPr="00B65900" w:rsidP="00B65900">
      <w:pPr>
        <w:pStyle w:val="ListBullet2"/>
      </w:pPr>
      <w:r w:rsidRPr="00B65900">
        <w:t>pulmonary oedema &amp; negative pressure pulmonary oedema</w:t>
      </w:r>
    </w:p>
    <w:p w:rsidR="00000000" w:rsidRPr="00B65900" w:rsidP="00B65900">
      <w:pPr>
        <w:pStyle w:val="ListBullet2"/>
      </w:pPr>
      <w:r w:rsidRPr="00B65900">
        <w:t>local anaesthetic toxicity</w:t>
      </w:r>
    </w:p>
    <w:p w:rsidR="00000000" w:rsidRPr="00B65900" w:rsidP="00B65900">
      <w:pPr>
        <w:pStyle w:val="ListBullet2"/>
      </w:pPr>
      <w:r w:rsidRPr="00B65900">
        <w:t>total s</w:t>
      </w:r>
      <w:r w:rsidRPr="00B65900">
        <w:t>pinal</w:t>
      </w:r>
    </w:p>
    <w:p w:rsidR="00000000" w:rsidRPr="00B65900" w:rsidP="00B65900">
      <w:pPr>
        <w:pStyle w:val="ListBullet2"/>
      </w:pPr>
      <w:r w:rsidRPr="00B65900">
        <w:t>metabolic and endocrine abnormalities</w:t>
      </w:r>
    </w:p>
    <w:p w:rsidR="00000000" w:rsidRPr="00B65900" w:rsidP="00B65900">
      <w:pPr>
        <w:pStyle w:val="ListBullet2"/>
      </w:pPr>
      <w:r w:rsidRPr="00B65900">
        <w:t xml:space="preserve">drug administration error and adverse drug reaction  </w:t>
      </w:r>
    </w:p>
    <w:p w:rsidR="00000000" w:rsidRPr="00B65900" w:rsidP="00B65900">
      <w:pPr>
        <w:pStyle w:val="ListBullet2"/>
      </w:pPr>
      <w:r w:rsidRPr="00B65900">
        <w:t>septic shower</w:t>
      </w:r>
    </w:p>
    <w:p w:rsidR="00000000" w:rsidRPr="00B65900" w:rsidP="00B65900">
      <w:pPr>
        <w:pStyle w:val="ListBullet"/>
      </w:pPr>
      <w:r w:rsidRPr="00B65900">
        <w:t>external emergencies including equipment failure, equipment/consumable supply shortage, weather events, fire and power outage</w:t>
      </w:r>
    </w:p>
    <w:p w:rsidR="00000000" w:rsidRPr="00B65900" w:rsidP="00B65900">
      <w:pPr>
        <w:pStyle w:val="ListBullet"/>
      </w:pPr>
      <w:r w:rsidRPr="00B65900">
        <w:t>algorithms used to de-escalate anaesthetic emergencies</w:t>
      </w:r>
    </w:p>
    <w:p w:rsidR="00000000" w:rsidRPr="00B65900" w:rsidP="00B65900">
      <w:pPr>
        <w:pStyle w:val="ListBullet"/>
      </w:pPr>
      <w:r w:rsidRPr="00B65900">
        <w:t>crisis management basic principles including internal and external crisis sources</w:t>
      </w:r>
    </w:p>
    <w:p w:rsidR="00000000" w:rsidRPr="00B65900" w:rsidP="00B65900">
      <w:pPr>
        <w:pStyle w:val="ListBullet"/>
      </w:pPr>
      <w:r w:rsidRPr="00B65900">
        <w:t>methods, principles and procedures for dealing with emergencies, including:</w:t>
      </w:r>
    </w:p>
    <w:p w:rsidR="00000000" w:rsidRPr="00B65900" w:rsidP="00B65900">
      <w:pPr>
        <w:pStyle w:val="ListBullet2"/>
      </w:pPr>
      <w:r w:rsidRPr="00B65900">
        <w:t>problem solving techniques</w:t>
      </w:r>
    </w:p>
    <w:p w:rsidR="00000000" w:rsidRPr="00B65900" w:rsidP="00B65900">
      <w:pPr>
        <w:pStyle w:val="ListBullet2"/>
      </w:pPr>
      <w:r w:rsidRPr="00B65900">
        <w:t>graded assertiv</w:t>
      </w:r>
      <w:r w:rsidRPr="00B65900">
        <w:t xml:space="preserve">eness </w:t>
      </w:r>
    </w:p>
    <w:p w:rsidR="00000000" w:rsidRPr="00B65900" w:rsidP="00B65900">
      <w:pPr>
        <w:pStyle w:val="ListBullet2"/>
      </w:pPr>
      <w:r w:rsidRPr="00B65900">
        <w:t>crisis communication principles</w:t>
      </w:r>
    </w:p>
    <w:p w:rsidR="00000000" w:rsidRPr="00B65900" w:rsidP="00B65900">
      <w:pPr>
        <w:pStyle w:val="ListBullet2"/>
      </w:pPr>
      <w:r w:rsidRPr="00B65900">
        <w:t>clinical handover</w:t>
      </w:r>
    </w:p>
    <w:p w:rsidR="00000000" w:rsidRPr="00B65900" w:rsidP="00B65900">
      <w:pPr>
        <w:pStyle w:val="ListBullet2"/>
      </w:pPr>
      <w:r w:rsidRPr="00B65900">
        <w:t>multidisciplinary team structure and functions</w:t>
      </w:r>
    </w:p>
    <w:p w:rsidR="00000000" w:rsidRPr="00B65900" w:rsidP="00B65900">
      <w:pPr>
        <w:pStyle w:val="ListBullet2"/>
      </w:pPr>
      <w:r w:rsidRPr="00B65900">
        <w:t>situation monitoring/situational awareness</w:t>
      </w:r>
    </w:p>
    <w:p w:rsidR="00000000" w:rsidRPr="00B65900" w:rsidP="00B65900">
      <w:pPr>
        <w:pStyle w:val="ListBullet2"/>
      </w:pPr>
      <w:r w:rsidRPr="00B65900">
        <w:t>massive transfusion protocol</w:t>
      </w:r>
    </w:p>
    <w:p w:rsidR="00000000" w:rsidRPr="00B65900" w:rsidP="00B65900">
      <w:pPr>
        <w:pStyle w:val="ListBullet2"/>
      </w:pPr>
      <w:r w:rsidRPr="00B65900">
        <w:t>Australian Resuscitation Council guidelines</w:t>
      </w:r>
    </w:p>
    <w:p w:rsidR="00000000" w:rsidRPr="00B65900" w:rsidP="00B65900">
      <w:pPr>
        <w:pStyle w:val="ListBullet2"/>
      </w:pPr>
      <w:r w:rsidRPr="00B65900">
        <w:t xml:space="preserve">Australian and New Zealand College of Anaesthetists (ANZCA) </w:t>
      </w:r>
      <w:r w:rsidRPr="00B65900">
        <w:rPr>
          <w:rStyle w:val="Emphasis"/>
        </w:rPr>
        <w:t>Anaphylaxis guidelines</w:t>
      </w:r>
    </w:p>
    <w:p w:rsidR="00000000" w:rsidRPr="00B65900" w:rsidP="00B65900">
      <w:pPr>
        <w:pStyle w:val="ListBullet2"/>
      </w:pPr>
      <w:r w:rsidRPr="00B65900">
        <w:t xml:space="preserve">ANZCA </w:t>
      </w:r>
      <w:r w:rsidRPr="00B65900">
        <w:rPr>
          <w:rStyle w:val="Emphasis"/>
        </w:rPr>
        <w:t>Malignant hyperthermia guidelines</w:t>
      </w:r>
    </w:p>
    <w:p w:rsidR="00000000" w:rsidRPr="00B65900" w:rsidP="00B65900">
      <w:pPr>
        <w:pStyle w:val="ListBullet"/>
      </w:pPr>
      <w:r w:rsidRPr="00B65900">
        <w:t>features, functions and safe use of emergency equipment</w:t>
      </w:r>
    </w:p>
    <w:p w:rsidR="00000000" w:rsidRPr="00B65900" w:rsidP="00B65900">
      <w:pPr>
        <w:pStyle w:val="ListBullet"/>
      </w:pPr>
      <w:r w:rsidRPr="00B65900">
        <w:t>emergency drug administration:</w:t>
      </w:r>
    </w:p>
    <w:p w:rsidR="00000000" w:rsidRPr="00B65900" w:rsidP="00B65900">
      <w:pPr>
        <w:pStyle w:val="ListBullet2"/>
      </w:pPr>
      <w:r w:rsidRPr="00B65900">
        <w:t>equipment</w:t>
      </w:r>
    </w:p>
    <w:p w:rsidR="00000000" w:rsidRPr="00B65900" w:rsidP="00B65900">
      <w:pPr>
        <w:pStyle w:val="ListBullet2"/>
      </w:pPr>
      <w:r w:rsidRPr="00B65900">
        <w:t>routes of administration in anaest</w:t>
      </w:r>
      <w:r w:rsidRPr="00B65900">
        <w:t>hesia context</w:t>
      </w:r>
    </w:p>
    <w:p w:rsidR="00000000" w:rsidRPr="00B65900" w:rsidP="00B65900">
      <w:pPr>
        <w:pStyle w:val="ListBullet2"/>
      </w:pPr>
      <w:r w:rsidRPr="00B65900">
        <w:t>types, functions and effects of different drugs</w:t>
      </w:r>
    </w:p>
    <w:p w:rsidR="00000000" w:rsidRPr="00B65900" w:rsidP="00B65900">
      <w:pPr>
        <w:pStyle w:val="ListBullet2"/>
      </w:pPr>
      <w:r w:rsidRPr="00B65900">
        <w:t>legislation and protocols</w:t>
      </w:r>
    </w:p>
    <w:p w:rsidR="00000000" w:rsidRPr="00B65900" w:rsidP="00B65900">
      <w:pPr>
        <w:pStyle w:val="AllowPageBreak"/>
      </w:pPr>
    </w:p>
    <w:p w:rsidR="00000000" w:rsidRPr="00B65900" w:rsidP="00B65900">
      <w:pPr>
        <w:pStyle w:val="Heading1"/>
      </w:pPr>
      <w:bookmarkStart w:id="4" w:name="O_742165"/>
      <w:bookmarkEnd w:id="4"/>
      <w:r w:rsidRPr="00B65900">
        <w:t>Assessment Conditions</w:t>
      </w:r>
    </w:p>
    <w:p w:rsidR="00000000" w:rsidRPr="00B65900" w:rsidP="00274860">
      <w:pPr>
        <w:pStyle w:val="BodyText"/>
      </w:pPr>
      <w:r w:rsidRPr="00B65900">
        <w:t>Skills must have been demonstrated in a simulated environment that reflects workplace conditions. The following conditions must b</w:t>
      </w:r>
      <w:r w:rsidRPr="00B65900">
        <w:t xml:space="preserve">e met for this unit: </w:t>
      </w:r>
    </w:p>
    <w:p w:rsidR="00000000" w:rsidRPr="00B65900" w:rsidP="00B65900">
      <w:pPr>
        <w:pStyle w:val="ListBullet"/>
      </w:pPr>
      <w:r w:rsidRPr="00B65900">
        <w:t xml:space="preserve">use of suitable facilities, equipment and resources, including those to simulate management of all emergencies identified in the Performance Evidence: </w:t>
      </w:r>
    </w:p>
    <w:p w:rsidR="00000000" w:rsidRPr="00B65900" w:rsidP="00B65900">
      <w:pPr>
        <w:pStyle w:val="ListBullet"/>
      </w:pPr>
      <w:r w:rsidRPr="00B65900">
        <w:t>modelling of industry operating conditions, including presence of situations requ</w:t>
      </w:r>
      <w:r w:rsidRPr="00B65900">
        <w:t>iring problem solving in non-routine situations</w:t>
      </w:r>
    </w:p>
    <w:p w:rsidR="00000000" w:rsidRPr="00B65900" w:rsidP="00B65900">
      <w:pPr>
        <w:pStyle w:val="BodyText"/>
      </w:pPr>
    </w:p>
    <w:p w:rsidR="00000000" w:rsidRPr="00B65900" w:rsidP="00274860">
      <w:pPr>
        <w:pStyle w:val="BodyText"/>
      </w:pPr>
      <w:r w:rsidRPr="00B65900">
        <w:t>Assessors must satisfy the Standards for Registered Training Organisations (RTOs) 2015/AQTF mandatory competency requirements for assessors.</w:t>
      </w:r>
    </w:p>
    <w:p w:rsidR="00000000" w:rsidRPr="00B65900" w:rsidP="00B65900">
      <w:pPr>
        <w:pStyle w:val="Heading1"/>
      </w:pPr>
      <w:bookmarkStart w:id="5" w:name="O_742168"/>
      <w:bookmarkEnd w:id="5"/>
      <w:r w:rsidRPr="00B65900">
        <w:t>Links</w:t>
      </w:r>
    </w:p>
    <w:p w:rsidR="00000000" w:rsidRPr="00B65900" w:rsidP="00274860">
      <w:pPr>
        <w:pStyle w:val="BodyText"/>
      </w:pPr>
      <w:r w:rsidRPr="00B6590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29E3">
        <w:rPr>
          <w:rStyle w:val="Hyperlink"/>
        </w:rPr>
        <w:t>https://vetnet.gov.au/Pages/TrainingDocs.aspx?q=ced1390f-48d9-4ab0-bd50-b015e5485705</w:t>
      </w:r>
      <w:r>
        <w:fldChar w:fldCharType="end"/>
      </w:r>
    </w:p>
    <w:p w:rsidR="00000000" w:rsidRPr="00B65900" w:rsidP="00B65900"/>
    <w:sectPr w:rsidSect="00B659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00" w:rsidRPr="00274860" w:rsidP="00274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60" w:rsidP="00B65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4860" w:rsidP="00B659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74860" w:rsidP="00B65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900" w:rsidRPr="00274860" w:rsidP="00274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60" w:rsidRPr="002D2AF8" w:rsidP="00B65900">
    <w:pPr>
      <w:pStyle w:val="Header"/>
      <w:framePr w:wrap="around"/>
    </w:pPr>
    <w:r>
      <w:fldChar w:fldCharType="begin"/>
    </w:r>
    <w:r>
      <w:instrText xml:space="preserve"> TITLE   \* MERGEFORMAT </w:instrText>
    </w:r>
    <w:r>
      <w:fldChar w:fldCharType="separate"/>
    </w:r>
    <w:r>
      <w:t>Assessment Requirements for HLTANA004 Respond to anaesthesia related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74860" w:rsidP="00B65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40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43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E8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900"/>
    <w:pPr>
      <w:spacing w:before="360" w:after="60"/>
      <w:outlineLvl w:val="0"/>
    </w:pPr>
    <w:rPr>
      <w:sz w:val="32"/>
    </w:rPr>
  </w:style>
  <w:style w:type="paragraph" w:styleId="Heading2">
    <w:name w:val="heading 2"/>
    <w:basedOn w:val="HeadingBase"/>
    <w:next w:val="BodyText"/>
    <w:link w:val="Heading2Char"/>
    <w:qFormat/>
    <w:rsid w:val="00B65900"/>
    <w:pPr>
      <w:keepLines/>
      <w:spacing w:before="240" w:after="120"/>
      <w:outlineLvl w:val="1"/>
    </w:pPr>
    <w:rPr>
      <w:sz w:val="28"/>
      <w:szCs w:val="40"/>
    </w:rPr>
  </w:style>
  <w:style w:type="paragraph" w:styleId="Heading3">
    <w:name w:val="heading 3"/>
    <w:basedOn w:val="HeadingBase"/>
    <w:next w:val="BodyText"/>
    <w:link w:val="Heading3Char"/>
    <w:qFormat/>
    <w:rsid w:val="00B65900"/>
    <w:pPr>
      <w:spacing w:before="180" w:after="120"/>
      <w:outlineLvl w:val="2"/>
    </w:pPr>
    <w:rPr>
      <w:spacing w:val="-10"/>
      <w:kern w:val="32"/>
    </w:rPr>
  </w:style>
  <w:style w:type="paragraph" w:styleId="Heading4">
    <w:name w:val="heading 4"/>
    <w:basedOn w:val="HeadingBase"/>
    <w:next w:val="BodyText"/>
    <w:link w:val="Heading4Char"/>
    <w:qFormat/>
    <w:rsid w:val="00B65900"/>
    <w:pPr>
      <w:spacing w:before="160" w:after="120"/>
      <w:outlineLvl w:val="3"/>
    </w:pPr>
    <w:rPr>
      <w:sz w:val="22"/>
    </w:rPr>
  </w:style>
  <w:style w:type="paragraph" w:styleId="Heading5">
    <w:name w:val="heading 5"/>
    <w:basedOn w:val="HeadingBase"/>
    <w:next w:val="Normal"/>
    <w:link w:val="Heading5Char"/>
    <w:qFormat/>
    <w:rsid w:val="00B65900"/>
    <w:pPr>
      <w:spacing w:before="80"/>
      <w:outlineLvl w:val="4"/>
    </w:pPr>
    <w:rPr>
      <w:color w:val="918585"/>
      <w:sz w:val="20"/>
    </w:rPr>
  </w:style>
  <w:style w:type="paragraph" w:styleId="Heading6">
    <w:name w:val="heading 6"/>
    <w:basedOn w:val="HeadingBase"/>
    <w:next w:val="Normal"/>
    <w:link w:val="Heading6Char"/>
    <w:qFormat/>
    <w:rsid w:val="00B65900"/>
    <w:pPr>
      <w:spacing w:before="60"/>
      <w:outlineLvl w:val="5"/>
    </w:pPr>
    <w:rPr>
      <w:color w:val="918585"/>
      <w:sz w:val="20"/>
    </w:rPr>
  </w:style>
  <w:style w:type="paragraph" w:styleId="Heading7">
    <w:name w:val="heading 7"/>
    <w:basedOn w:val="Normal"/>
    <w:next w:val="Normal"/>
    <w:link w:val="Heading7Char"/>
    <w:qFormat/>
    <w:rsid w:val="00B65900"/>
    <w:pPr>
      <w:ind w:left="720"/>
      <w:outlineLvl w:val="6"/>
    </w:pPr>
    <w:rPr>
      <w:i/>
    </w:rPr>
  </w:style>
  <w:style w:type="paragraph" w:styleId="Heading8">
    <w:name w:val="heading 8"/>
    <w:basedOn w:val="Normal"/>
    <w:next w:val="Normal"/>
    <w:link w:val="Heading8Char"/>
    <w:qFormat/>
    <w:rsid w:val="00B65900"/>
    <w:pPr>
      <w:ind w:left="720"/>
      <w:outlineLvl w:val="7"/>
    </w:pPr>
    <w:rPr>
      <w:i/>
    </w:rPr>
  </w:style>
  <w:style w:type="paragraph" w:styleId="Heading9">
    <w:name w:val="heading 9"/>
    <w:basedOn w:val="Normal"/>
    <w:next w:val="Normal"/>
    <w:link w:val="Heading9Char"/>
    <w:qFormat/>
    <w:rsid w:val="00B65900"/>
    <w:pPr>
      <w:ind w:left="720"/>
      <w:outlineLvl w:val="8"/>
    </w:pPr>
    <w:rPr>
      <w:i/>
    </w:rPr>
  </w:style>
  <w:style w:type="character" w:default="1" w:styleId="DefaultParagraphFont">
    <w:name w:val="Default Paragraph Font"/>
    <w:uiPriority w:val="1"/>
    <w:unhideWhenUsed/>
    <w:rsid w:val="00B65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900"/>
  </w:style>
  <w:style w:type="character" w:customStyle="1" w:styleId="Heading1Char">
    <w:name w:val="Heading 1 Char"/>
    <w:basedOn w:val="DefaultParagraphFont"/>
    <w:link w:val="Heading1"/>
    <w:rsid w:val="00B65900"/>
    <w:rPr>
      <w:rFonts w:ascii="Times New Roman" w:eastAsia="Times New Roman" w:hAnsi="Times New Roman" w:cs="Times New Roman"/>
      <w:b/>
      <w:sz w:val="32"/>
      <w:szCs w:val="20"/>
      <w:lang w:eastAsia="en-US"/>
    </w:rPr>
  </w:style>
  <w:style w:type="paragraph" w:styleId="BodyText">
    <w:name w:val="Body Text"/>
    <w:basedOn w:val="Normal"/>
    <w:link w:val="BodyTextChar"/>
    <w:rsid w:val="00B65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900"/>
    <w:rPr>
      <w:rFonts w:ascii="Times New Roman" w:eastAsia="Times New Roman" w:hAnsi="Times New Roman" w:cs="Times New Roman"/>
      <w:sz w:val="24"/>
      <w:lang w:eastAsia="en-US"/>
    </w:rPr>
  </w:style>
  <w:style w:type="paragraph" w:styleId="ListBullet">
    <w:name w:val="List Bullet"/>
    <w:basedOn w:val="List"/>
    <w:rsid w:val="00B65900"/>
    <w:pPr>
      <w:numPr>
        <w:numId w:val="13"/>
      </w:numPr>
      <w:tabs>
        <w:tab w:val="clear" w:pos="340"/>
      </w:tabs>
      <w:spacing w:before="40" w:after="40"/>
    </w:pPr>
  </w:style>
  <w:style w:type="character" w:customStyle="1" w:styleId="SpecialBold">
    <w:name w:val="Special Bold"/>
    <w:basedOn w:val="DefaultParagraphFont"/>
    <w:rsid w:val="00B65900"/>
    <w:rPr>
      <w:b/>
      <w:spacing w:val="0"/>
    </w:rPr>
  </w:style>
  <w:style w:type="paragraph" w:styleId="ListBullet2">
    <w:name w:val="List Bullet 2"/>
    <w:basedOn w:val="List2"/>
    <w:rsid w:val="00B65900"/>
    <w:pPr>
      <w:numPr>
        <w:numId w:val="14"/>
      </w:numPr>
      <w:tabs>
        <w:tab w:val="clear" w:pos="680"/>
      </w:tabs>
    </w:pPr>
  </w:style>
  <w:style w:type="character" w:styleId="Emphasis">
    <w:name w:val="Emphasis"/>
    <w:basedOn w:val="DefaultParagraphFont"/>
    <w:qFormat/>
    <w:rsid w:val="00B65900"/>
    <w:rPr>
      <w:i/>
    </w:rPr>
  </w:style>
  <w:style w:type="paragraph" w:customStyle="1" w:styleId="SuperHeading">
    <w:name w:val="SuperHeading"/>
    <w:basedOn w:val="Normal"/>
    <w:rsid w:val="00B65900"/>
    <w:pPr>
      <w:spacing w:before="240" w:after="120"/>
      <w:outlineLvl w:val="0"/>
    </w:pPr>
    <w:rPr>
      <w:rFonts w:ascii="Times New Roman" w:hAnsi="Times New Roman"/>
      <w:b/>
      <w:sz w:val="32"/>
    </w:rPr>
  </w:style>
  <w:style w:type="paragraph" w:customStyle="1" w:styleId="AllowPageBreak">
    <w:name w:val="AllowPageBreak"/>
    <w:rsid w:val="00B659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5900"/>
    <w:pPr>
      <w:numPr>
        <w:numId w:val="3"/>
      </w:numPr>
      <w:tabs>
        <w:tab w:val="clear" w:pos="1021"/>
      </w:tabs>
      <w:ind w:left="1037" w:hanging="357"/>
    </w:pPr>
  </w:style>
  <w:style w:type="character" w:customStyle="1" w:styleId="Heading2Char">
    <w:name w:val="Heading 2 Char"/>
    <w:basedOn w:val="DefaultParagraphFont"/>
    <w:link w:val="Heading2"/>
    <w:rsid w:val="00B65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900"/>
    <w:rPr>
      <w:rFonts w:ascii="Courier New" w:eastAsia="Times New Roman" w:hAnsi="Courier New" w:cs="Times New Roman"/>
      <w:i/>
      <w:szCs w:val="20"/>
      <w:lang w:eastAsia="en-US"/>
    </w:rPr>
  </w:style>
  <w:style w:type="paragraph" w:customStyle="1" w:styleId="HeadingBase">
    <w:name w:val="Heading Base"/>
    <w:rsid w:val="00B65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900"/>
    <w:pPr>
      <w:tabs>
        <w:tab w:val="right" w:leader="dot" w:pos="9072"/>
      </w:tabs>
      <w:ind w:left="567"/>
    </w:pPr>
    <w:rPr>
      <w:szCs w:val="22"/>
    </w:rPr>
  </w:style>
  <w:style w:type="paragraph" w:customStyle="1" w:styleId="TOCBase">
    <w:name w:val="TOC Base"/>
    <w:rsid w:val="00B65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900"/>
    <w:pPr>
      <w:tabs>
        <w:tab w:val="right" w:leader="dot" w:pos="9072"/>
      </w:tabs>
      <w:spacing w:before="40" w:after="40"/>
      <w:ind w:left="284"/>
    </w:pPr>
    <w:rPr>
      <w:rFonts w:ascii="Times New Roman" w:hAnsi="Times New Roman"/>
    </w:rPr>
  </w:style>
  <w:style w:type="paragraph" w:styleId="TOC1">
    <w:name w:val="toc 1"/>
    <w:basedOn w:val="TOCBase"/>
    <w:next w:val="Normal"/>
    <w:rsid w:val="00B65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900"/>
    <w:rPr>
      <w:rFonts w:ascii="Times New Roman" w:eastAsia="Times New Roman" w:hAnsi="Times New Roman" w:cs="Times New Roman"/>
      <w:sz w:val="16"/>
      <w:lang w:eastAsia="en-US"/>
    </w:rPr>
  </w:style>
  <w:style w:type="paragraph" w:styleId="Title">
    <w:name w:val="Title"/>
    <w:basedOn w:val="HeadingBase"/>
    <w:link w:val="TitleChar"/>
    <w:qFormat/>
    <w:rsid w:val="00B65900"/>
    <w:pPr>
      <w:spacing w:before="5040"/>
      <w:jc w:val="center"/>
    </w:pPr>
    <w:rPr>
      <w:sz w:val="48"/>
      <w:szCs w:val="72"/>
      <w:lang w:val="en-US"/>
    </w:rPr>
  </w:style>
  <w:style w:type="character" w:customStyle="1" w:styleId="TitleChar">
    <w:name w:val="Title Char"/>
    <w:basedOn w:val="DefaultParagraphFont"/>
    <w:link w:val="Title"/>
    <w:rsid w:val="00B65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900"/>
    <w:pPr>
      <w:tabs>
        <w:tab w:val="left" w:pos="3600"/>
        <w:tab w:val="left" w:pos="3958"/>
      </w:tabs>
    </w:pPr>
  </w:style>
  <w:style w:type="paragraph" w:styleId="List">
    <w:name w:val="List"/>
    <w:basedOn w:val="BodyText"/>
    <w:next w:val="BodyText"/>
    <w:rsid w:val="00B65900"/>
    <w:pPr>
      <w:tabs>
        <w:tab w:val="left" w:pos="340"/>
      </w:tabs>
      <w:spacing w:before="60" w:after="60"/>
      <w:ind w:left="340" w:hanging="340"/>
    </w:pPr>
  </w:style>
  <w:style w:type="paragraph" w:customStyle="1" w:styleId="Note">
    <w:name w:val="Note"/>
    <w:basedOn w:val="BodyText"/>
    <w:rsid w:val="00B65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900"/>
    <w:pPr>
      <w:framePr w:wrap="auto" w:hAnchor="text" w:y="6049"/>
    </w:pPr>
    <w:rPr>
      <w:color w:val="000000"/>
      <w:sz w:val="40"/>
    </w:rPr>
  </w:style>
  <w:style w:type="paragraph" w:customStyle="1" w:styleId="TOCTitle">
    <w:name w:val="TOCTitle"/>
    <w:basedOn w:val="Heading1"/>
    <w:rsid w:val="00B65900"/>
    <w:pPr>
      <w:spacing w:after="240"/>
      <w:jc w:val="center"/>
      <w:outlineLvl w:val="9"/>
    </w:pPr>
    <w:rPr>
      <w:caps/>
    </w:rPr>
  </w:style>
  <w:style w:type="paragraph" w:customStyle="1" w:styleId="Version">
    <w:name w:val="Version"/>
    <w:rsid w:val="00B65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900"/>
    <w:pPr>
      <w:keepNext w:val="0"/>
      <w:tabs>
        <w:tab w:val="right" w:pos="4176"/>
      </w:tabs>
      <w:ind w:left="198" w:hanging="198"/>
    </w:pPr>
    <w:rPr>
      <w:rFonts w:ascii="Garamond" w:hAnsi="Garamond"/>
    </w:rPr>
  </w:style>
  <w:style w:type="paragraph" w:styleId="IndexHeading">
    <w:name w:val="index heading"/>
    <w:basedOn w:val="Normal"/>
    <w:next w:val="Index1"/>
    <w:semiHidden/>
    <w:rsid w:val="00B65900"/>
    <w:pPr>
      <w:spacing w:before="120" w:after="120"/>
    </w:pPr>
    <w:rPr>
      <w:rFonts w:ascii="Arial" w:hAnsi="Arial"/>
      <w:b/>
      <w:color w:val="918585"/>
      <w:sz w:val="24"/>
    </w:rPr>
  </w:style>
  <w:style w:type="paragraph" w:styleId="Header">
    <w:name w:val="header"/>
    <w:basedOn w:val="Normal"/>
    <w:link w:val="HeaderChar"/>
    <w:rsid w:val="00B65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900"/>
    <w:rPr>
      <w:rFonts w:ascii="Times New Roman" w:eastAsia="Times New Roman" w:hAnsi="Times New Roman" w:cs="Times New Roman"/>
      <w:sz w:val="16"/>
      <w:szCs w:val="20"/>
      <w:lang w:val="en-GB" w:eastAsia="en-US"/>
    </w:rPr>
  </w:style>
  <w:style w:type="paragraph" w:customStyle="1" w:styleId="Chapter">
    <w:name w:val="Chapter"/>
    <w:basedOn w:val="Normal"/>
    <w:rsid w:val="00B65900"/>
    <w:pPr>
      <w:spacing w:before="240"/>
    </w:pPr>
    <w:rPr>
      <w:rFonts w:ascii="Times New Roman" w:hAnsi="Times New Roman"/>
      <w:smallCaps/>
      <w:spacing w:val="80"/>
      <w:sz w:val="28"/>
    </w:rPr>
  </w:style>
  <w:style w:type="paragraph" w:customStyle="1" w:styleId="InChapter">
    <w:name w:val="InChapter"/>
    <w:basedOn w:val="Heading3"/>
    <w:rsid w:val="00B65900"/>
    <w:pPr>
      <w:spacing w:after="240"/>
      <w:outlineLvl w:val="9"/>
    </w:pPr>
    <w:rPr>
      <w:noProof/>
    </w:rPr>
  </w:style>
  <w:style w:type="paragraph" w:styleId="Index2">
    <w:name w:val="index 2"/>
    <w:basedOn w:val="Normal"/>
    <w:next w:val="Normal"/>
    <w:semiHidden/>
    <w:rsid w:val="00B65900"/>
    <w:pPr>
      <w:tabs>
        <w:tab w:val="right" w:pos="4176"/>
      </w:tabs>
      <w:ind w:left="568" w:hanging="284"/>
    </w:pPr>
    <w:rPr>
      <w:rFonts w:ascii="Garamond" w:hAnsi="Garamond"/>
    </w:rPr>
  </w:style>
  <w:style w:type="paragraph" w:customStyle="1" w:styleId="Byline">
    <w:name w:val="Byline"/>
    <w:rsid w:val="00B65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900"/>
    <w:pPr>
      <w:tabs>
        <w:tab w:val="clear" w:pos="3600"/>
        <w:tab w:val="clear" w:pos="3958"/>
      </w:tabs>
      <w:jc w:val="right"/>
    </w:pPr>
  </w:style>
  <w:style w:type="paragraph" w:styleId="Caption">
    <w:name w:val="caption"/>
    <w:basedOn w:val="BodyText"/>
    <w:next w:val="Normal"/>
    <w:qFormat/>
    <w:rsid w:val="00B65900"/>
    <w:pPr>
      <w:framePr w:w="2268" w:hSpace="181" w:vSpace="181" w:wrap="around" w:vAnchor="text" w:hAnchor="page" w:x="1135" w:y="285" w:anchorLock="1"/>
    </w:pPr>
    <w:rPr>
      <w:i/>
    </w:rPr>
  </w:style>
  <w:style w:type="paragraph" w:customStyle="1" w:styleId="MiniTOCTitle">
    <w:name w:val="MiniTOCTitle"/>
    <w:basedOn w:val="Heading4"/>
    <w:rsid w:val="00B65900"/>
    <w:pPr>
      <w:spacing w:before="240"/>
      <w:outlineLvl w:val="9"/>
    </w:pPr>
    <w:rPr>
      <w:noProof/>
      <w:sz w:val="24"/>
    </w:rPr>
  </w:style>
  <w:style w:type="paragraph" w:customStyle="1" w:styleId="MiniTOCItem">
    <w:name w:val="MiniTOCItem"/>
    <w:basedOn w:val="ListBullet"/>
    <w:rsid w:val="00B65900"/>
    <w:pPr>
      <w:numPr>
        <w:numId w:val="0"/>
      </w:numPr>
      <w:tabs>
        <w:tab w:val="right" w:leader="dot" w:pos="6521"/>
      </w:tabs>
      <w:spacing w:before="0" w:after="0"/>
    </w:pPr>
  </w:style>
  <w:style w:type="paragraph" w:customStyle="1" w:styleId="TOFTitle">
    <w:name w:val="TOFTitle"/>
    <w:basedOn w:val="TOCTitle"/>
    <w:rsid w:val="00B65900"/>
  </w:style>
  <w:style w:type="paragraph" w:styleId="TableofFigures">
    <w:name w:val="table of figures"/>
    <w:basedOn w:val="Normal"/>
    <w:next w:val="Normal"/>
    <w:semiHidden/>
    <w:rsid w:val="00B65900"/>
    <w:pPr>
      <w:tabs>
        <w:tab w:val="right" w:leader="dot" w:pos="9072"/>
      </w:tabs>
      <w:ind w:left="970" w:hanging="403"/>
    </w:pPr>
    <w:rPr>
      <w:rFonts w:ascii="Times New Roman" w:hAnsi="Times New Roman"/>
      <w:b/>
    </w:rPr>
  </w:style>
  <w:style w:type="paragraph" w:styleId="ListNumber">
    <w:name w:val="List Number"/>
    <w:basedOn w:val="List"/>
    <w:rsid w:val="00B65900"/>
    <w:pPr>
      <w:numPr>
        <w:numId w:val="16"/>
      </w:numPr>
      <w:tabs>
        <w:tab w:val="clear" w:pos="340"/>
      </w:tabs>
    </w:pPr>
  </w:style>
  <w:style w:type="character" w:customStyle="1" w:styleId="WingdingSymbols">
    <w:name w:val="Wingding Symbols"/>
    <w:rsid w:val="00B65900"/>
    <w:rPr>
      <w:rFonts w:ascii="Wingdings" w:hAnsi="Wingdings"/>
    </w:rPr>
  </w:style>
  <w:style w:type="paragraph" w:customStyle="1" w:styleId="TableHeading">
    <w:name w:val="Table Heading"/>
    <w:basedOn w:val="HeadingBase"/>
    <w:rsid w:val="00B65900"/>
    <w:pPr>
      <w:keepLines/>
      <w:pBdr>
        <w:bottom w:val="single" w:sz="6" w:space="1" w:color="918585"/>
      </w:pBdr>
      <w:spacing w:before="240"/>
    </w:pPr>
  </w:style>
  <w:style w:type="character" w:customStyle="1" w:styleId="HotSpot">
    <w:name w:val="HotSpot"/>
    <w:rsid w:val="00B65900"/>
    <w:rPr>
      <w:color w:val="0033CC"/>
      <w:u w:val="none"/>
    </w:rPr>
  </w:style>
  <w:style w:type="paragraph" w:customStyle="1" w:styleId="BodyTextRight">
    <w:name w:val="Body Text Right"/>
    <w:basedOn w:val="BodyText"/>
    <w:rsid w:val="00B65900"/>
    <w:pPr>
      <w:spacing w:before="0" w:after="0"/>
      <w:jc w:val="right"/>
    </w:pPr>
  </w:style>
  <w:style w:type="paragraph" w:styleId="Index3">
    <w:name w:val="index 3"/>
    <w:basedOn w:val="ListNumber2"/>
    <w:next w:val="Normal"/>
    <w:semiHidden/>
    <w:rsid w:val="00B65900"/>
    <w:pPr>
      <w:numPr>
        <w:numId w:val="0"/>
      </w:numPr>
      <w:tabs>
        <w:tab w:val="right" w:leader="dot" w:pos="4176"/>
      </w:tabs>
    </w:pPr>
  </w:style>
  <w:style w:type="paragraph" w:styleId="ListNumber2">
    <w:name w:val="List Number 2"/>
    <w:basedOn w:val="List2"/>
    <w:rsid w:val="00B65900"/>
    <w:pPr>
      <w:numPr>
        <w:numId w:val="11"/>
      </w:numPr>
      <w:tabs>
        <w:tab w:val="clear" w:pos="1060"/>
      </w:tabs>
    </w:pPr>
  </w:style>
  <w:style w:type="paragraph" w:customStyle="1" w:styleId="MarginNote">
    <w:name w:val="Margin Note"/>
    <w:basedOn w:val="BodyText"/>
    <w:rsid w:val="00B65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900"/>
    <w:rPr>
      <w:sz w:val="32"/>
    </w:rPr>
  </w:style>
  <w:style w:type="paragraph" w:customStyle="1" w:styleId="HeadingProcedure">
    <w:name w:val="Heading Procedure"/>
    <w:basedOn w:val="HeadingBase"/>
    <w:next w:val="Normal"/>
    <w:rsid w:val="00B65900"/>
    <w:pPr>
      <w:tabs>
        <w:tab w:val="left" w:pos="0"/>
      </w:tabs>
      <w:spacing w:before="120" w:after="60"/>
    </w:pPr>
    <w:rPr>
      <w:i/>
      <w:color w:val="918585"/>
      <w:sz w:val="22"/>
    </w:rPr>
  </w:style>
  <w:style w:type="paragraph" w:customStyle="1" w:styleId="TableBodyText">
    <w:name w:val="Table Body Text"/>
    <w:basedOn w:val="BodyText"/>
    <w:rsid w:val="00B65900"/>
    <w:pPr>
      <w:spacing w:before="60" w:after="60"/>
    </w:pPr>
  </w:style>
  <w:style w:type="paragraph" w:styleId="ListContinue">
    <w:name w:val="List Continue"/>
    <w:basedOn w:val="List"/>
    <w:rsid w:val="00B65900"/>
    <w:pPr>
      <w:ind w:firstLine="0"/>
    </w:pPr>
  </w:style>
  <w:style w:type="paragraph" w:customStyle="1" w:styleId="ListNote">
    <w:name w:val="List Note"/>
    <w:basedOn w:val="List"/>
    <w:rsid w:val="00B65900"/>
    <w:pPr>
      <w:pBdr>
        <w:top w:val="single" w:sz="6" w:space="2" w:color="918585"/>
        <w:bottom w:val="single" w:sz="6" w:space="2" w:color="918585"/>
      </w:pBdr>
      <w:tabs>
        <w:tab w:val="left" w:pos="1021"/>
      </w:tabs>
      <w:ind w:firstLine="0"/>
    </w:pPr>
  </w:style>
  <w:style w:type="paragraph" w:customStyle="1" w:styleId="Warning">
    <w:name w:val="Warning"/>
    <w:basedOn w:val="BodyText"/>
    <w:rsid w:val="00B65900"/>
    <w:pPr>
      <w:shd w:val="clear" w:color="auto" w:fill="D9D9D9"/>
      <w:tabs>
        <w:tab w:val="left" w:pos="992"/>
      </w:tabs>
      <w:ind w:left="119" w:right="119"/>
    </w:pPr>
    <w:rPr>
      <w:sz w:val="20"/>
    </w:rPr>
  </w:style>
  <w:style w:type="paragraph" w:customStyle="1" w:styleId="MarginIcons">
    <w:name w:val="Margin Icons"/>
    <w:basedOn w:val="BodyText"/>
    <w:rsid w:val="00B65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900"/>
    <w:rPr>
      <w:rFonts w:ascii="Courier New" w:hAnsi="Courier New"/>
    </w:rPr>
  </w:style>
  <w:style w:type="paragraph" w:customStyle="1" w:styleId="NoteBullet">
    <w:name w:val="Note Bullet"/>
    <w:basedOn w:val="Note"/>
    <w:rsid w:val="00B65900"/>
    <w:pPr>
      <w:tabs>
        <w:tab w:val="clear" w:pos="680"/>
      </w:tabs>
      <w:spacing w:before="60" w:after="60"/>
    </w:pPr>
  </w:style>
  <w:style w:type="paragraph" w:customStyle="1" w:styleId="SubHeading2">
    <w:name w:val="SubHeading2"/>
    <w:basedOn w:val="HeadingBase"/>
    <w:rsid w:val="00B65900"/>
    <w:pPr>
      <w:spacing w:before="240" w:after="60"/>
    </w:pPr>
    <w:rPr>
      <w:sz w:val="20"/>
    </w:rPr>
  </w:style>
  <w:style w:type="paragraph" w:customStyle="1" w:styleId="SubHeading1">
    <w:name w:val="SubHeading1"/>
    <w:basedOn w:val="HeadingBase"/>
    <w:rsid w:val="00B65900"/>
    <w:pPr>
      <w:spacing w:before="240" w:after="60"/>
    </w:pPr>
    <w:rPr>
      <w:color w:val="918585"/>
      <w:sz w:val="22"/>
    </w:rPr>
  </w:style>
  <w:style w:type="paragraph" w:customStyle="1" w:styleId="SideHeading">
    <w:name w:val="Side Heading"/>
    <w:basedOn w:val="HeadingBase"/>
    <w:rsid w:val="00B65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900"/>
    <w:pPr>
      <w:numPr>
        <w:numId w:val="12"/>
      </w:numPr>
    </w:pPr>
  </w:style>
  <w:style w:type="paragraph" w:styleId="PlainText">
    <w:name w:val="Plain Text"/>
    <w:basedOn w:val="Normal"/>
    <w:link w:val="PlainTextChar"/>
    <w:rsid w:val="00B65900"/>
    <w:rPr>
      <w:sz w:val="20"/>
    </w:rPr>
  </w:style>
  <w:style w:type="character" w:customStyle="1" w:styleId="PlainTextChar">
    <w:name w:val="Plain Text Char"/>
    <w:basedOn w:val="DefaultParagraphFont"/>
    <w:link w:val="PlainText"/>
    <w:rsid w:val="00B65900"/>
    <w:rPr>
      <w:rFonts w:ascii="Courier New" w:eastAsia="Times New Roman" w:hAnsi="Courier New" w:cs="Times New Roman"/>
      <w:sz w:val="20"/>
      <w:szCs w:val="20"/>
      <w:lang w:eastAsia="en-US"/>
    </w:rPr>
  </w:style>
  <w:style w:type="character" w:customStyle="1" w:styleId="MenuOption">
    <w:name w:val="Menu Option"/>
    <w:basedOn w:val="DefaultParagraphFont"/>
    <w:rsid w:val="00B65900"/>
    <w:rPr>
      <w:b/>
      <w:smallCaps/>
    </w:rPr>
  </w:style>
  <w:style w:type="paragraph" w:customStyle="1" w:styleId="TableListNumber">
    <w:name w:val="Table List Number"/>
    <w:basedOn w:val="ListNumber"/>
    <w:rsid w:val="00B65900"/>
    <w:pPr>
      <w:numPr>
        <w:numId w:val="0"/>
      </w:numPr>
    </w:pPr>
  </w:style>
  <w:style w:type="paragraph" w:styleId="TOC4">
    <w:name w:val="toc 4"/>
    <w:basedOn w:val="TOCBase"/>
    <w:next w:val="Normal"/>
    <w:semiHidden/>
    <w:rsid w:val="00B65900"/>
    <w:pPr>
      <w:tabs>
        <w:tab w:val="right" w:leader="dot" w:pos="9071"/>
      </w:tabs>
      <w:ind w:left="1701"/>
    </w:pPr>
  </w:style>
  <w:style w:type="paragraph" w:customStyle="1" w:styleId="ListAlpha">
    <w:name w:val="List Alpha"/>
    <w:basedOn w:val="List"/>
    <w:rsid w:val="00B65900"/>
    <w:pPr>
      <w:numPr>
        <w:numId w:val="10"/>
      </w:numPr>
    </w:pPr>
  </w:style>
  <w:style w:type="paragraph" w:customStyle="1" w:styleId="ListAlpha2">
    <w:name w:val="List Alpha 2"/>
    <w:basedOn w:val="List2"/>
    <w:rsid w:val="00B65900"/>
    <w:pPr>
      <w:numPr>
        <w:numId w:val="9"/>
      </w:numPr>
    </w:pPr>
  </w:style>
  <w:style w:type="paragraph" w:styleId="List2">
    <w:name w:val="List 2"/>
    <w:basedOn w:val="BodyText"/>
    <w:rsid w:val="00B65900"/>
    <w:pPr>
      <w:tabs>
        <w:tab w:val="left" w:pos="680"/>
      </w:tabs>
      <w:spacing w:before="60" w:after="60"/>
      <w:ind w:left="680" w:hanging="340"/>
    </w:pPr>
  </w:style>
  <w:style w:type="paragraph" w:styleId="List3">
    <w:name w:val="List 3"/>
    <w:basedOn w:val="BodyText"/>
    <w:rsid w:val="00B65900"/>
    <w:pPr>
      <w:tabs>
        <w:tab w:val="left" w:pos="1021"/>
      </w:tabs>
      <w:spacing w:before="60" w:after="60"/>
      <w:ind w:left="1020" w:hanging="340"/>
    </w:pPr>
  </w:style>
  <w:style w:type="paragraph" w:styleId="List4">
    <w:name w:val="List 4"/>
    <w:basedOn w:val="BodyText"/>
    <w:rsid w:val="00B65900"/>
    <w:pPr>
      <w:tabs>
        <w:tab w:val="left" w:pos="1361"/>
      </w:tabs>
      <w:spacing w:before="60" w:after="60"/>
      <w:ind w:left="1361" w:hanging="340"/>
    </w:pPr>
  </w:style>
  <w:style w:type="paragraph" w:styleId="List5">
    <w:name w:val="List 5"/>
    <w:basedOn w:val="BodyText"/>
    <w:rsid w:val="00B65900"/>
    <w:pPr>
      <w:tabs>
        <w:tab w:val="left" w:pos="1701"/>
      </w:tabs>
      <w:spacing w:before="60" w:after="60"/>
      <w:ind w:left="1701" w:hanging="340"/>
    </w:pPr>
  </w:style>
  <w:style w:type="paragraph" w:styleId="ListBullet4">
    <w:name w:val="List Bullet 4"/>
    <w:basedOn w:val="List4"/>
    <w:rsid w:val="00B65900"/>
    <w:pPr>
      <w:numPr>
        <w:numId w:val="4"/>
      </w:numPr>
      <w:tabs>
        <w:tab w:val="clear" w:pos="1361"/>
      </w:tabs>
    </w:pPr>
  </w:style>
  <w:style w:type="paragraph" w:styleId="ListBullet5">
    <w:name w:val="List Bullet 5"/>
    <w:basedOn w:val="List5"/>
    <w:rsid w:val="00B65900"/>
    <w:pPr>
      <w:numPr>
        <w:numId w:val="5"/>
      </w:numPr>
    </w:pPr>
  </w:style>
  <w:style w:type="paragraph" w:styleId="ListContinue2">
    <w:name w:val="List Continue 2"/>
    <w:basedOn w:val="List2"/>
    <w:rsid w:val="00B65900"/>
    <w:pPr>
      <w:ind w:firstLine="0"/>
    </w:pPr>
  </w:style>
  <w:style w:type="paragraph" w:styleId="ListContinue3">
    <w:name w:val="List Continue 3"/>
    <w:basedOn w:val="List3"/>
    <w:rsid w:val="00B65900"/>
    <w:pPr>
      <w:ind w:left="1021" w:firstLine="0"/>
    </w:pPr>
  </w:style>
  <w:style w:type="paragraph" w:styleId="ListContinue4">
    <w:name w:val="List Continue 4"/>
    <w:basedOn w:val="List4"/>
    <w:rsid w:val="00B65900"/>
    <w:pPr>
      <w:ind w:firstLine="0"/>
    </w:pPr>
  </w:style>
  <w:style w:type="paragraph" w:styleId="ListContinue5">
    <w:name w:val="List Continue 5"/>
    <w:basedOn w:val="List5"/>
    <w:rsid w:val="00B65900"/>
    <w:pPr>
      <w:ind w:firstLine="0"/>
    </w:pPr>
  </w:style>
  <w:style w:type="paragraph" w:styleId="ListNumber3">
    <w:name w:val="List Number 3"/>
    <w:basedOn w:val="List3"/>
    <w:rsid w:val="00B65900"/>
    <w:pPr>
      <w:numPr>
        <w:numId w:val="6"/>
      </w:numPr>
    </w:pPr>
  </w:style>
  <w:style w:type="paragraph" w:styleId="ListNumber4">
    <w:name w:val="List Number 4"/>
    <w:basedOn w:val="List4"/>
    <w:rsid w:val="00B65900"/>
    <w:pPr>
      <w:numPr>
        <w:numId w:val="7"/>
      </w:numPr>
    </w:pPr>
  </w:style>
  <w:style w:type="paragraph" w:styleId="ListNumber5">
    <w:name w:val="List Number 5"/>
    <w:basedOn w:val="List5"/>
    <w:rsid w:val="00B65900"/>
    <w:pPr>
      <w:numPr>
        <w:numId w:val="8"/>
      </w:numPr>
    </w:pPr>
  </w:style>
  <w:style w:type="paragraph" w:styleId="BlockText">
    <w:name w:val="Block Text"/>
    <w:basedOn w:val="Normal"/>
    <w:rsid w:val="00B65900"/>
    <w:pPr>
      <w:spacing w:after="120"/>
      <w:ind w:left="1440" w:right="1440"/>
    </w:pPr>
  </w:style>
  <w:style w:type="character" w:customStyle="1" w:styleId="Subscript">
    <w:name w:val="Subscript"/>
    <w:basedOn w:val="DefaultParagraphFont"/>
    <w:rsid w:val="00B65900"/>
    <w:rPr>
      <w:sz w:val="16"/>
      <w:vertAlign w:val="subscript"/>
    </w:rPr>
  </w:style>
  <w:style w:type="character" w:customStyle="1" w:styleId="Superscript">
    <w:name w:val="Superscript"/>
    <w:basedOn w:val="DefaultParagraphFont"/>
    <w:rsid w:val="00B65900"/>
    <w:rPr>
      <w:sz w:val="16"/>
      <w:vertAlign w:val="superscript"/>
    </w:rPr>
  </w:style>
  <w:style w:type="character" w:customStyle="1" w:styleId="Symbols">
    <w:name w:val="Symbols"/>
    <w:basedOn w:val="DefaultParagraphFont"/>
    <w:rsid w:val="00B65900"/>
    <w:rPr>
      <w:rFonts w:ascii="Symbol" w:hAnsi="Symbol"/>
    </w:rPr>
  </w:style>
  <w:style w:type="character" w:customStyle="1" w:styleId="MenuOptions">
    <w:name w:val="Menu Options"/>
    <w:basedOn w:val="DefaultParagraphFont"/>
    <w:rsid w:val="00B65900"/>
    <w:rPr>
      <w:rFonts w:ascii="Arial Narrow" w:hAnsi="Arial Narrow"/>
      <w:smallCaps/>
    </w:rPr>
  </w:style>
  <w:style w:type="character" w:customStyle="1" w:styleId="Buttons">
    <w:name w:val="Buttons"/>
    <w:basedOn w:val="DefaultParagraphFont"/>
    <w:rsid w:val="00B65900"/>
    <w:rPr>
      <w:b/>
    </w:rPr>
  </w:style>
  <w:style w:type="character" w:customStyle="1" w:styleId="Underlined">
    <w:name w:val="Underlined"/>
    <w:basedOn w:val="DefaultParagraphFont"/>
    <w:rsid w:val="00B65900"/>
    <w:rPr>
      <w:u w:val="single"/>
    </w:rPr>
  </w:style>
  <w:style w:type="paragraph" w:customStyle="1" w:styleId="TableBodyTextRight">
    <w:name w:val="Table Body Text Right"/>
    <w:basedOn w:val="TableBodyText"/>
    <w:rsid w:val="00B65900"/>
    <w:pPr>
      <w:widowControl w:val="0"/>
      <w:autoSpaceDE w:val="0"/>
      <w:autoSpaceDN w:val="0"/>
      <w:adjustRightInd w:val="0"/>
      <w:jc w:val="right"/>
    </w:pPr>
    <w:rPr>
      <w:rFonts w:cs="Arial"/>
      <w:szCs w:val="18"/>
    </w:rPr>
  </w:style>
  <w:style w:type="paragraph" w:customStyle="1" w:styleId="CopyrightText">
    <w:name w:val="Copyright Text"/>
    <w:basedOn w:val="BodyText"/>
    <w:rsid w:val="00B65900"/>
    <w:rPr>
      <w:sz w:val="18"/>
    </w:rPr>
  </w:style>
  <w:style w:type="paragraph" w:customStyle="1" w:styleId="BodySmallRight">
    <w:name w:val="Body Small Right"/>
    <w:basedOn w:val="BodyTextRight"/>
    <w:rsid w:val="00B65900"/>
    <w:rPr>
      <w:sz w:val="18"/>
      <w:szCs w:val="18"/>
    </w:rPr>
  </w:style>
  <w:style w:type="paragraph" w:customStyle="1" w:styleId="MarginEdition">
    <w:name w:val="Margin Edition"/>
    <w:basedOn w:val="MarginNote"/>
    <w:rsid w:val="00B65900"/>
    <w:pPr>
      <w:spacing w:before="0" w:after="0"/>
    </w:pPr>
    <w:rPr>
      <w:rFonts w:ascii="Times New Roman" w:hAnsi="Times New Roman"/>
      <w:color w:val="999999"/>
    </w:rPr>
  </w:style>
  <w:style w:type="paragraph" w:customStyle="1" w:styleId="Spacer">
    <w:name w:val="Spacer"/>
    <w:basedOn w:val="Normal"/>
    <w:rsid w:val="00B65900"/>
    <w:rPr>
      <w:sz w:val="2"/>
      <w:szCs w:val="2"/>
    </w:rPr>
  </w:style>
  <w:style w:type="character" w:customStyle="1" w:styleId="Small">
    <w:name w:val="Small"/>
    <w:basedOn w:val="DefaultParagraphFont"/>
    <w:rsid w:val="00B65900"/>
    <w:rPr>
      <w:sz w:val="16"/>
    </w:rPr>
  </w:style>
  <w:style w:type="paragraph" w:customStyle="1" w:styleId="WideTable">
    <w:name w:val="Wide Table"/>
    <w:basedOn w:val="Normal"/>
    <w:rsid w:val="00B65900"/>
    <w:pPr>
      <w:ind w:left="-1418"/>
    </w:pPr>
    <w:rPr>
      <w:sz w:val="2"/>
      <w:szCs w:val="2"/>
    </w:rPr>
  </w:style>
  <w:style w:type="character" w:styleId="PageNumber">
    <w:name w:val="page number"/>
    <w:basedOn w:val="DefaultParagraphFont"/>
    <w:rsid w:val="00B65900"/>
  </w:style>
  <w:style w:type="paragraph" w:styleId="Quote">
    <w:name w:val="Quote"/>
    <w:basedOn w:val="Heading1"/>
    <w:link w:val="QuoteChar"/>
    <w:qFormat/>
    <w:rsid w:val="00B65900"/>
    <w:rPr>
      <w:b w:val="0"/>
      <w:sz w:val="72"/>
      <w:szCs w:val="72"/>
      <w:lang w:val="en-NZ"/>
    </w:rPr>
  </w:style>
  <w:style w:type="character" w:customStyle="1" w:styleId="QuoteChar">
    <w:name w:val="Quote Char"/>
    <w:basedOn w:val="DefaultParagraphFont"/>
    <w:link w:val="Quote"/>
    <w:rsid w:val="00B65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900"/>
    <w:pPr>
      <w:pageBreakBefore/>
    </w:pPr>
  </w:style>
  <w:style w:type="paragraph" w:customStyle="1" w:styleId="Border">
    <w:name w:val="Border"/>
    <w:basedOn w:val="Normal"/>
    <w:qFormat/>
    <w:rsid w:val="00B65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900"/>
    <w:rPr>
      <w:b/>
      <w:bCs/>
      <w:i/>
      <w:iCs/>
      <w:color w:val="auto"/>
    </w:rPr>
  </w:style>
  <w:style w:type="paragraph" w:styleId="IntenseQuote">
    <w:name w:val="Intense Quote"/>
    <w:basedOn w:val="Normal"/>
    <w:next w:val="Normal"/>
    <w:link w:val="IntenseQuoteChar"/>
    <w:uiPriority w:val="30"/>
    <w:qFormat/>
    <w:rsid w:val="00B65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900"/>
    <w:rPr>
      <w:smallCaps/>
      <w:color w:val="auto"/>
      <w:u w:val="single"/>
    </w:rPr>
  </w:style>
  <w:style w:type="character" w:styleId="IntenseReference">
    <w:name w:val="Intense Reference"/>
    <w:basedOn w:val="DefaultParagraphFont"/>
    <w:uiPriority w:val="32"/>
    <w:qFormat/>
    <w:rsid w:val="00B65900"/>
    <w:rPr>
      <w:b/>
      <w:bCs/>
      <w:smallCaps/>
      <w:color w:val="auto"/>
      <w:spacing w:val="5"/>
      <w:u w:val="single"/>
    </w:rPr>
  </w:style>
  <w:style w:type="paragraph" w:customStyle="1" w:styleId="2ColumnHeading">
    <w:name w:val="2Column Heading"/>
    <w:basedOn w:val="BodyText"/>
    <w:qFormat/>
    <w:rsid w:val="00B65900"/>
    <w:pPr>
      <w:spacing w:after="60"/>
      <w:ind w:left="-2268"/>
    </w:pPr>
    <w:rPr>
      <w:b/>
    </w:rPr>
  </w:style>
  <w:style w:type="paragraph" w:customStyle="1" w:styleId="Heading1TOC">
    <w:name w:val="Heading1 TOC"/>
    <w:basedOn w:val="Normal"/>
    <w:qFormat/>
    <w:rsid w:val="00B65900"/>
    <w:pPr>
      <w:spacing w:before="240" w:after="120"/>
    </w:pPr>
    <w:rPr>
      <w:rFonts w:ascii="Times New Roman" w:hAnsi="Times New Roman"/>
      <w:b/>
      <w:sz w:val="32"/>
    </w:rPr>
  </w:style>
  <w:style w:type="paragraph" w:customStyle="1" w:styleId="Heading2TOC">
    <w:name w:val="Heading2 TOC"/>
    <w:basedOn w:val="Normal"/>
    <w:qFormat/>
    <w:rsid w:val="00B65900"/>
    <w:pPr>
      <w:spacing w:before="240" w:after="60"/>
    </w:pPr>
    <w:rPr>
      <w:rFonts w:ascii="Times New Roman" w:hAnsi="Times New Roman"/>
      <w:b/>
      <w:sz w:val="28"/>
    </w:rPr>
  </w:style>
  <w:style w:type="character" w:customStyle="1" w:styleId="Underline">
    <w:name w:val="Underline"/>
    <w:basedOn w:val="DefaultParagraphFont"/>
    <w:qFormat/>
    <w:rsid w:val="00B65900"/>
    <w:rPr>
      <w:u w:val="single"/>
    </w:rPr>
  </w:style>
  <w:style w:type="character" w:customStyle="1" w:styleId="BoldandItalics">
    <w:name w:val="Bold and Italics"/>
    <w:qFormat/>
    <w:rsid w:val="00B65900"/>
    <w:rPr>
      <w:b/>
      <w:i/>
      <w:u w:val="none"/>
    </w:rPr>
  </w:style>
  <w:style w:type="paragraph" w:styleId="BalloonText">
    <w:name w:val="Balloon Text"/>
    <w:basedOn w:val="Normal"/>
    <w:link w:val="BalloonTextChar"/>
    <w:rsid w:val="00B65900"/>
    <w:rPr>
      <w:rFonts w:ascii="Tahoma" w:hAnsi="Tahoma" w:cs="Tahoma"/>
      <w:sz w:val="16"/>
      <w:szCs w:val="16"/>
    </w:rPr>
  </w:style>
  <w:style w:type="character" w:customStyle="1" w:styleId="BalloonTextChar">
    <w:name w:val="Balloon Text Char"/>
    <w:basedOn w:val="DefaultParagraphFont"/>
    <w:link w:val="BalloonText"/>
    <w:rsid w:val="00B65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900"/>
    <w:rPr>
      <w:b/>
      <w:color w:val="660033"/>
      <w:spacing w:val="0"/>
    </w:rPr>
  </w:style>
  <w:style w:type="paragraph" w:customStyle="1" w:styleId="Nameditemlist">
    <w:name w:val="Named item list"/>
    <w:basedOn w:val="BodyText"/>
    <w:qFormat/>
    <w:rsid w:val="00B65900"/>
    <w:pPr>
      <w:tabs>
        <w:tab w:val="left" w:pos="2835"/>
      </w:tabs>
      <w:ind w:left="2835" w:hanging="2835"/>
    </w:pPr>
  </w:style>
  <w:style w:type="paragraph" w:customStyle="1" w:styleId="BodyTextnopadding">
    <w:name w:val="Body Text no padding"/>
    <w:basedOn w:val="BodyText"/>
    <w:qFormat/>
    <w:rsid w:val="00B65900"/>
    <w:pPr>
      <w:spacing w:before="0" w:after="0"/>
    </w:pPr>
  </w:style>
  <w:style w:type="paragraph" w:customStyle="1" w:styleId="BodyTextBold">
    <w:name w:val="Body Text Bold"/>
    <w:basedOn w:val="BodyText"/>
    <w:qFormat/>
    <w:rsid w:val="00B65900"/>
    <w:rPr>
      <w:b/>
    </w:rPr>
  </w:style>
  <w:style w:type="character" w:styleId="Hyperlink">
    <w:name w:val="Hyperlink"/>
    <w:basedOn w:val="DefaultParagraphFont"/>
    <w:uiPriority w:val="99"/>
    <w:unhideWhenUsed/>
    <w:rsid w:val="00274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5042</Characters>
  <Application>Microsoft Office Word</Application>
  <DocSecurity>0</DocSecurity>
  <Lines>162</Lines>
  <Paragraphs>142</Paragraphs>
  <ScaleCrop>false</ScaleCrop>
  <Company>Author-it Software Corporation Ltd.</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HLTANA004 Respond to anaesthesia related emergencies</dc:title>
  <dc:subject>Approved</dc:subject>
  <dc:creator>SkillsIQ</dc:creator>
  <cp:keywords>Release: 1</cp:keywords>
  <dc:description>Review Date: 12 April 2008</dc:description>
  <cp:lastModifiedBy>HSD_TPCMSd.prod</cp:lastModifiedBy>
  <cp:revision>3</cp:revision>
  <dcterms:created xsi:type="dcterms:W3CDTF">2022-04-08T09:20:00Z</dcterms:created>
  <dcterms:modified xsi:type="dcterms:W3CDTF">2022-04-08T09:20:00Z</dcterms:modified>
</cp:coreProperties>
</file>