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F41" w:rsidP="00C80F41">
      <w:pPr>
        <w:pStyle w:val="Title"/>
      </w:pPr>
      <w:r>
        <w:fldChar w:fldCharType="begin"/>
      </w:r>
      <w:r>
        <w:instrText xml:space="preserve"> TITLE   \* MERGEFORMAT </w:instrText>
      </w:r>
      <w:r>
        <w:fldChar w:fldCharType="separate"/>
      </w:r>
      <w:r>
        <w:t>HLTANA002 Monitor clients during anaesthesia</w:t>
      </w:r>
      <w:r>
        <w:fldChar w:fldCharType="end"/>
      </w:r>
    </w:p>
    <w:p w:rsidR="00C80F41" w:rsidP="00C80F41">
      <w:pPr>
        <w:pStyle w:val="Version"/>
        <w:sectPr w:rsidSect="00176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1D5" w:rsidP="001761D5">
      <w:pPr>
        <w:pStyle w:val="SuperHeading"/>
      </w:pPr>
      <w:r w:rsidRPr="001761D5">
        <w:t>HLTANA002 Monitor clients during anaesthesia</w:t>
      </w:r>
    </w:p>
    <w:p w:rsidR="00000000" w:rsidRPr="001761D5" w:rsidP="001761D5">
      <w:pPr>
        <w:pStyle w:val="Heading1"/>
      </w:pPr>
      <w:bookmarkStart w:id="1" w:name="O_742114"/>
      <w:bookmarkEnd w:id="1"/>
      <w:r w:rsidRPr="001761D5">
        <w:t>Modification History</w:t>
      </w:r>
    </w:p>
    <w:tbl>
      <w:tblPr>
        <w:tblW w:w="0" w:type="auto"/>
        <w:tblLayout w:type="fixed"/>
        <w:tblCellMar>
          <w:left w:w="62" w:type="dxa"/>
          <w:right w:w="62" w:type="dxa"/>
        </w:tblCellMar>
        <w:tblLook w:val="0000"/>
      </w:tblPr>
      <w:tblGrid>
        <w:gridCol w:w="2790"/>
        <w:gridCol w:w="6344"/>
      </w:tblGrid>
      <w:tr w:rsidTr="001761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D5" w:rsidP="001761D5">
            <w:pPr>
              <w:pStyle w:val="BodyText"/>
            </w:pPr>
            <w:r w:rsidRPr="001761D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D5">
            <w:pPr>
              <w:pStyle w:val="BodyText"/>
              <w:rPr>
                <w:lang w:val="en-NZ"/>
              </w:rPr>
            </w:pPr>
            <w:r w:rsidRPr="001761D5">
              <w:rPr>
                <w:rStyle w:val="SpecialBold"/>
              </w:rPr>
              <w:t>Comments</w:t>
            </w:r>
          </w:p>
        </w:tc>
      </w:tr>
      <w:tr w:rsidTr="001761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D5">
            <w:pPr>
              <w:pStyle w:val="BodyText"/>
              <w:rPr>
                <w:lang w:val="en-NZ"/>
              </w:rPr>
            </w:pPr>
            <w:r w:rsidRPr="001761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D5" w:rsidP="001761D5">
            <w:pPr>
              <w:pStyle w:val="BodyText"/>
            </w:pPr>
            <w:r w:rsidRPr="001761D5">
              <w:t xml:space="preserve">This version was released in </w:t>
            </w:r>
            <w:r w:rsidRPr="001761D5">
              <w:rPr>
                <w:rStyle w:val="Emphasis"/>
              </w:rPr>
              <w:t>HLT Health Training Package release 2.0</w:t>
            </w:r>
            <w:r w:rsidRPr="001761D5">
              <w:t xml:space="preserve"> and meets the requirements of the 2012 Standards for Training Packages.</w:t>
            </w:r>
          </w:p>
          <w:p w:rsidR="00000000" w:rsidRPr="001761D5" w:rsidP="001761D5">
            <w:pPr>
              <w:pStyle w:val="BodyText"/>
            </w:pPr>
            <w:r w:rsidRPr="001761D5">
              <w:t>Significant changes to the elements and performance criteria. New</w:t>
            </w:r>
            <w:r w:rsidRPr="001761D5">
              <w:t xml:space="preserve"> evidence requirements for assessment, including volume and frequency requirements. Significant change to knowledge evidence - incorporates content from multiple units, including HLTAN403D/HLTAN404D.</w:t>
            </w:r>
          </w:p>
        </w:tc>
      </w:tr>
    </w:tbl>
    <w:p w:rsidR="00C80F41" w:rsidP="001761D5">
      <w:pPr>
        <w:pStyle w:val="BodyText"/>
      </w:pPr>
    </w:p>
    <w:p w:rsidR="00C80F41" w:rsidP="001761D5">
      <w:pPr>
        <w:pStyle w:val="BodyText"/>
      </w:pPr>
    </w:p>
    <w:p w:rsidR="00000000" w:rsidRPr="001761D5" w:rsidP="001761D5">
      <w:pPr>
        <w:pStyle w:val="Heading1"/>
      </w:pPr>
      <w:bookmarkStart w:id="2" w:name="O_742115"/>
      <w:bookmarkEnd w:id="2"/>
      <w:r w:rsidRPr="001761D5">
        <w:t>Application</w:t>
      </w:r>
    </w:p>
    <w:p w:rsidR="00000000" w:rsidRPr="001761D5" w:rsidP="00C80F41">
      <w:pPr>
        <w:pStyle w:val="BodyText"/>
      </w:pPr>
      <w:r w:rsidRPr="001761D5">
        <w:t xml:space="preserve">This unit describes the </w:t>
      </w:r>
      <w:r w:rsidRPr="001761D5">
        <w:t>skills and knowledge required to observe and monitor clients, taking a broad range of clinical tests and measurements.</w:t>
      </w:r>
    </w:p>
    <w:p w:rsidR="00000000" w:rsidRPr="001761D5" w:rsidP="00C80F41">
      <w:pPr>
        <w:pStyle w:val="BodyText"/>
      </w:pPr>
      <w:r w:rsidRPr="001761D5">
        <w:t>The unit applies to anaesthetic technicians working under the direction of, and in consultation with, an anaesthetist in any hospital or</w:t>
      </w:r>
      <w:r w:rsidRPr="001761D5">
        <w:t xml:space="preserve"> day surgery setting.</w:t>
      </w:r>
    </w:p>
    <w:p w:rsidR="00C80F41" w:rsidRPr="00C80F41" w:rsidP="00C80F41">
      <w:pPr>
        <w:pStyle w:val="BodyText"/>
        <w:rPr>
          <w:i/>
        </w:rPr>
      </w:pPr>
      <w:r w:rsidRPr="00C80F41">
        <w:rPr>
          <w:rStyle w:val="Emphasis"/>
        </w:rPr>
        <w:t>The skills in this unit must be applied in accordance with Commonwealth and State/Territory legislation, Australian/New Zealand standards and industry codes of practice.</w:t>
      </w:r>
    </w:p>
    <w:p w:rsidR="00000000" w:rsidRPr="001761D5" w:rsidP="001761D5">
      <w:pPr>
        <w:pStyle w:val="Heading1"/>
      </w:pPr>
      <w:bookmarkStart w:id="3" w:name="O_742119"/>
      <w:bookmarkEnd w:id="3"/>
      <w:r w:rsidRPr="001761D5">
        <w:t>Elements and Performance Criteria</w:t>
      </w:r>
    </w:p>
    <w:tbl>
      <w:tblPr>
        <w:tblW w:w="0" w:type="auto"/>
        <w:tblLayout w:type="fixed"/>
        <w:tblCellMar>
          <w:left w:w="62" w:type="dxa"/>
          <w:right w:w="62" w:type="dxa"/>
        </w:tblCellMar>
        <w:tblLook w:val="0000"/>
      </w:tblPr>
      <w:tblGrid>
        <w:gridCol w:w="3261"/>
        <w:gridCol w:w="5702"/>
      </w:tblGrid>
      <w:tr w:rsidTr="00C80F4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r w:rsidRPr="001761D5">
              <w:t>ELEMENT</w:t>
            </w:r>
          </w:p>
        </w:tc>
        <w:tc>
          <w:tcPr>
            <w:tcW w:w="5702"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r w:rsidRPr="001761D5">
              <w:t>PERFORMANCE CRITERIA</w:t>
            </w:r>
          </w:p>
        </w:tc>
      </w:tr>
      <w:tr w:rsidTr="00C80F41">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1761D5" w:rsidP="001761D5">
            <w:pPr>
              <w:pStyle w:val="BodyText"/>
            </w:pPr>
            <w:r w:rsidRPr="001761D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r w:rsidRPr="001761D5">
              <w:rPr>
                <w:rStyle w:val="Emphasis"/>
              </w:rPr>
              <w:t>Performance criteria describe the performance needed to demonstrate achievement of the element</w:t>
            </w:r>
          </w:p>
        </w:tc>
      </w:tr>
      <w:tr w:rsidTr="00C80F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r w:rsidRPr="001761D5">
              <w:t>1. Observe client</w:t>
            </w:r>
          </w:p>
        </w:tc>
        <w:tc>
          <w:tcPr>
            <w:tcW w:w="5702" w:type="dxa"/>
            <w:tcBorders>
              <w:top w:val="nil"/>
              <w:left w:val="nil"/>
              <w:bottom w:val="nil"/>
              <w:right w:val="nil"/>
            </w:tcBorders>
            <w:tcMar>
              <w:top w:w="0" w:type="dxa"/>
              <w:left w:w="62" w:type="dxa"/>
              <w:bottom w:w="0" w:type="dxa"/>
              <w:right w:w="62" w:type="dxa"/>
            </w:tcMar>
          </w:tcPr>
          <w:p w:rsidR="00000000" w:rsidRPr="001761D5" w:rsidP="001761D5">
            <w:pPr>
              <w:pStyle w:val="BodyText"/>
            </w:pPr>
            <w:r w:rsidRPr="001761D5">
              <w:t>1.1 Read and interpret information in client records</w:t>
            </w:r>
          </w:p>
          <w:p w:rsidR="00000000" w:rsidRPr="001761D5" w:rsidP="001761D5">
            <w:pPr>
              <w:pStyle w:val="BodyText"/>
            </w:pPr>
            <w:r w:rsidRPr="001761D5">
              <w:t>1.2 Check client’s physiolog</w:t>
            </w:r>
            <w:r w:rsidRPr="001761D5">
              <w:t xml:space="preserve">ical parameters as directed </w:t>
            </w:r>
          </w:p>
          <w:p w:rsidR="00000000" w:rsidRPr="001761D5" w:rsidP="001761D5">
            <w:pPr>
              <w:pStyle w:val="BodyText"/>
            </w:pPr>
            <w:r w:rsidRPr="001761D5">
              <w:t xml:space="preserve">1.3 Identify deviations from acceptable limits, check equipment for true reading and report to the anaesthetist </w:t>
            </w:r>
          </w:p>
          <w:p w:rsidR="00000000" w:rsidP="001761D5">
            <w:pPr>
              <w:pStyle w:val="BodyText"/>
              <w:rPr>
                <w:lang w:val="en-NZ"/>
              </w:rPr>
            </w:pPr>
            <w:r w:rsidRPr="001761D5">
              <w:t>1.4 Identify and respond to signs of client discomfort, distress or adverse reaction within role responsibility</w:t>
            </w:r>
          </w:p>
        </w:tc>
      </w:tr>
      <w:tr w:rsidTr="00C80F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p>
        </w:tc>
      </w:tr>
      <w:tr w:rsidTr="00C80F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761D5" w:rsidP="001761D5">
            <w:pPr>
              <w:pStyle w:val="BodyText"/>
            </w:pPr>
            <w:r w:rsidRPr="001761D5">
              <w:t>2. Take measurements and samples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761D5" w:rsidP="001761D5">
            <w:pPr>
              <w:pStyle w:val="BodyText"/>
            </w:pPr>
            <w:r w:rsidRPr="001761D5">
              <w:t>2.1 Select and prepare equipment suited to test or measurement being conducted</w:t>
            </w:r>
          </w:p>
          <w:p w:rsidR="00000000" w:rsidRPr="001761D5" w:rsidP="001761D5">
            <w:pPr>
              <w:pStyle w:val="BodyText"/>
            </w:pPr>
            <w:r w:rsidRPr="001761D5">
              <w:t>2.2 Prepare client according to requirements of test or measurement</w:t>
            </w:r>
          </w:p>
          <w:p w:rsidR="00000000" w:rsidRPr="001761D5" w:rsidP="001761D5">
            <w:pPr>
              <w:pStyle w:val="BodyText"/>
            </w:pPr>
            <w:r w:rsidRPr="001761D5">
              <w:t>2.3 Maintain aseptic technique during collection of body fluid for analys</w:t>
            </w:r>
            <w:r w:rsidRPr="001761D5">
              <w:t>is</w:t>
            </w:r>
          </w:p>
          <w:p w:rsidR="00000000" w:rsidRPr="001761D5" w:rsidP="001761D5">
            <w:pPr>
              <w:pStyle w:val="BodyText"/>
            </w:pPr>
            <w:r w:rsidRPr="001761D5">
              <w:t xml:space="preserve">2.4 Accurately measure client’s fluid intake and output/loss </w:t>
            </w:r>
          </w:p>
          <w:p w:rsidR="00000000" w:rsidRPr="001761D5" w:rsidP="001761D5">
            <w:pPr>
              <w:pStyle w:val="BodyText"/>
            </w:pPr>
            <w:r w:rsidRPr="001761D5">
              <w:t>2.5 Perform measurement or take samples in accordance with manufacturer’s guidelines and organisation policies and procedures</w:t>
            </w:r>
          </w:p>
          <w:p w:rsidR="00000000" w:rsidP="001761D5">
            <w:pPr>
              <w:pStyle w:val="BodyText"/>
              <w:rPr>
                <w:lang w:val="en-NZ"/>
              </w:rPr>
            </w:pPr>
            <w:r w:rsidRPr="001761D5">
              <w:t>2.6 Determine quality of measurement or sample based on establish</w:t>
            </w:r>
            <w:r w:rsidRPr="001761D5">
              <w:t>ed procedures</w:t>
            </w:r>
          </w:p>
        </w:tc>
      </w:tr>
      <w:tr w:rsidTr="00C80F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1761D5">
            <w:pPr>
              <w:pStyle w:val="ListContinue"/>
              <w:rPr>
                <w:lang w:val="en-NZ"/>
              </w:rPr>
            </w:pPr>
          </w:p>
        </w:tc>
      </w:tr>
      <w:tr w:rsidTr="00C80F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r w:rsidRPr="001761D5">
              <w:t xml:space="preserve">3. Report measurements </w:t>
            </w:r>
          </w:p>
        </w:tc>
        <w:tc>
          <w:tcPr>
            <w:tcW w:w="5702" w:type="dxa"/>
            <w:tcBorders>
              <w:top w:val="nil"/>
              <w:left w:val="nil"/>
              <w:bottom w:val="nil"/>
              <w:right w:val="nil"/>
            </w:tcBorders>
            <w:tcMar>
              <w:top w:w="0" w:type="dxa"/>
              <w:left w:w="62" w:type="dxa"/>
              <w:bottom w:w="0" w:type="dxa"/>
              <w:right w:w="62" w:type="dxa"/>
            </w:tcMar>
          </w:tcPr>
          <w:p w:rsidR="00000000" w:rsidRPr="001761D5" w:rsidP="001761D5">
            <w:pPr>
              <w:pStyle w:val="BodyText"/>
            </w:pPr>
            <w:r w:rsidRPr="001761D5">
              <w:t>3.1 Read test results and report to the anaesthetist</w:t>
            </w:r>
          </w:p>
          <w:p w:rsidR="00000000" w:rsidRPr="001761D5" w:rsidP="001761D5">
            <w:pPr>
              <w:pStyle w:val="BodyText"/>
            </w:pPr>
            <w:r w:rsidRPr="001761D5">
              <w:t>3.2 Promptly identify and report abnormal findings to the anaesthetist</w:t>
            </w:r>
          </w:p>
          <w:p w:rsidR="00000000" w:rsidRPr="001761D5" w:rsidP="001761D5">
            <w:pPr>
              <w:pStyle w:val="BodyText"/>
            </w:pPr>
            <w:r w:rsidRPr="001761D5">
              <w:t xml:space="preserve">3.3 Document results of measurement or ensure documentation is completed </w:t>
            </w:r>
          </w:p>
        </w:tc>
      </w:tr>
    </w:tbl>
    <w:p w:rsidR="00C80F41" w:rsidP="001761D5">
      <w:pPr>
        <w:pStyle w:val="BodyText"/>
      </w:pPr>
    </w:p>
    <w:p w:rsidR="00C80F41" w:rsidP="001761D5">
      <w:pPr>
        <w:pStyle w:val="BodyText"/>
      </w:pPr>
    </w:p>
    <w:p w:rsidR="00000000" w:rsidRPr="001761D5" w:rsidP="001761D5">
      <w:pPr>
        <w:pStyle w:val="Heading1"/>
      </w:pPr>
      <w:bookmarkStart w:id="4" w:name="O_742120"/>
      <w:bookmarkEnd w:id="4"/>
      <w:r w:rsidRPr="001761D5">
        <w:t>Foundation Skills</w:t>
      </w:r>
    </w:p>
    <w:tbl>
      <w:tblPr>
        <w:tblW w:w="0" w:type="auto"/>
        <w:tblLayout w:type="fixed"/>
        <w:tblCellMar>
          <w:left w:w="62" w:type="dxa"/>
          <w:right w:w="62" w:type="dxa"/>
        </w:tblCellMar>
        <w:tblLook w:val="0000"/>
      </w:tblPr>
      <w:tblGrid>
        <w:gridCol w:w="8931"/>
      </w:tblGrid>
      <w:tr w:rsidTr="001761D5">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1761D5">
            <w:pPr>
              <w:pStyle w:val="BodyText"/>
              <w:rPr>
                <w:lang w:val="en-NZ"/>
              </w:rPr>
            </w:pPr>
            <w:r w:rsidRPr="001761D5">
              <w:rPr>
                <w:rStyle w:val="Emphasis"/>
              </w:rPr>
              <w:t xml:space="preserve">The Foundation Skills describe those required skills (employability skills, language, literacy and numeracy) that are essential to performance. </w:t>
            </w:r>
          </w:p>
        </w:tc>
      </w:tr>
      <w:tr w:rsidTr="001761D5">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1761D5" w:rsidP="001761D5">
            <w:pPr>
              <w:pStyle w:val="BodyText"/>
            </w:pPr>
          </w:p>
          <w:p w:rsidR="00000000" w:rsidRPr="001761D5" w:rsidP="001761D5">
            <w:pPr>
              <w:pStyle w:val="BodyText"/>
            </w:pPr>
            <w:r w:rsidRPr="001761D5">
              <w:t>Foundation skills essential to performance are explicit in the performance criteria</w:t>
            </w:r>
            <w:r w:rsidRPr="001761D5">
              <w:t xml:space="preserve"> of this unit of competency. </w:t>
            </w:r>
          </w:p>
        </w:tc>
      </w:tr>
    </w:tbl>
    <w:p w:rsidR="00C80F41" w:rsidP="001761D5">
      <w:pPr>
        <w:pStyle w:val="BodyText"/>
      </w:pPr>
    </w:p>
    <w:p w:rsidR="00C80F41" w:rsidP="001761D5">
      <w:pPr>
        <w:pStyle w:val="BodyText"/>
      </w:pPr>
    </w:p>
    <w:p w:rsidR="00000000" w:rsidRPr="001761D5" w:rsidP="001761D5">
      <w:pPr>
        <w:pStyle w:val="Heading1"/>
      </w:pPr>
      <w:bookmarkStart w:id="5" w:name="O_742122"/>
      <w:bookmarkEnd w:id="5"/>
      <w:r w:rsidRPr="001761D5">
        <w:t>Unit Mapping Information</w:t>
      </w:r>
    </w:p>
    <w:p w:rsidR="00000000" w:rsidRPr="001761D5" w:rsidP="00C80F41">
      <w:pPr>
        <w:pStyle w:val="BodyText"/>
      </w:pPr>
      <w:r w:rsidRPr="001761D5">
        <w:t xml:space="preserve">No equivalent unit. </w:t>
      </w:r>
    </w:p>
    <w:p w:rsidR="00000000" w:rsidRPr="001761D5" w:rsidP="001761D5">
      <w:pPr>
        <w:pStyle w:val="Heading1"/>
      </w:pPr>
      <w:bookmarkStart w:id="6" w:name="O_742129"/>
      <w:bookmarkEnd w:id="6"/>
      <w:r w:rsidRPr="001761D5">
        <w:t>Links</w:t>
      </w:r>
    </w:p>
    <w:p w:rsidR="00000000" w:rsidRPr="001761D5" w:rsidP="00C80F41">
      <w:pPr>
        <w:pStyle w:val="BodyText"/>
      </w:pPr>
      <w:r w:rsidRPr="001761D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788D">
        <w:rPr>
          <w:rStyle w:val="Hyperlink"/>
        </w:rPr>
        <w:t>https://vetnet.gov.au/Pages/TrainingDocs.aspx?q=ced1390f-48d9-4ab0-bd50-b015e5485705</w:t>
      </w:r>
      <w:r>
        <w:fldChar w:fldCharType="end"/>
      </w:r>
    </w:p>
    <w:p w:rsidR="00000000" w:rsidRPr="001761D5" w:rsidP="00C80F41">
      <w:pPr>
        <w:pStyle w:val="BodyText"/>
        <w:sectPr w:rsidSect="001761D5">
          <w:headerReference w:type="default" r:id="rId10"/>
          <w:footerReference w:type="default" r:id="rId11"/>
          <w:pgSz w:w="11908" w:h="16833"/>
          <w:pgMar w:top="1702" w:right="1418" w:bottom="1702" w:left="1418" w:header="992" w:footer="992" w:gutter="0"/>
          <w:cols w:space="720"/>
          <w:noEndnote/>
          <w:docGrid w:linePitch="299"/>
        </w:sectPr>
      </w:pPr>
    </w:p>
    <w:p w:rsidR="00000000" w:rsidRPr="001761D5" w:rsidP="001761D5">
      <w:pPr>
        <w:pStyle w:val="SuperHeading"/>
      </w:pPr>
      <w:r w:rsidRPr="001761D5">
        <w:t>Assessment Requirements for HLTANA002 Monitor clients during an</w:t>
      </w:r>
      <w:r w:rsidRPr="001761D5">
        <w:t>aesthesia</w:t>
      </w:r>
    </w:p>
    <w:p w:rsidR="00000000" w:rsidRPr="001761D5" w:rsidP="001761D5">
      <w:pPr>
        <w:pStyle w:val="Heading1"/>
      </w:pPr>
      <w:bookmarkStart w:id="7" w:name="O_742124"/>
      <w:bookmarkEnd w:id="7"/>
      <w:r w:rsidRPr="001761D5">
        <w:t>Modification History</w:t>
      </w:r>
    </w:p>
    <w:tbl>
      <w:tblPr>
        <w:tblW w:w="0" w:type="auto"/>
        <w:tblLayout w:type="fixed"/>
        <w:tblCellMar>
          <w:left w:w="62" w:type="dxa"/>
          <w:right w:w="62" w:type="dxa"/>
        </w:tblCellMar>
        <w:tblLook w:val="0000"/>
      </w:tblPr>
      <w:tblGrid>
        <w:gridCol w:w="2790"/>
        <w:gridCol w:w="6344"/>
      </w:tblGrid>
      <w:tr w:rsidTr="001761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D5" w:rsidP="001761D5">
            <w:pPr>
              <w:pStyle w:val="BodyText"/>
            </w:pPr>
            <w:r w:rsidRPr="001761D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D5">
            <w:pPr>
              <w:pStyle w:val="BodyText"/>
              <w:rPr>
                <w:lang w:val="en-NZ"/>
              </w:rPr>
            </w:pPr>
            <w:r w:rsidRPr="001761D5">
              <w:rPr>
                <w:rStyle w:val="SpecialBold"/>
              </w:rPr>
              <w:t>Comments</w:t>
            </w:r>
          </w:p>
        </w:tc>
      </w:tr>
      <w:tr w:rsidTr="001761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D5">
            <w:pPr>
              <w:pStyle w:val="BodyText"/>
              <w:rPr>
                <w:lang w:val="en-NZ"/>
              </w:rPr>
            </w:pPr>
            <w:r w:rsidRPr="001761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D5" w:rsidP="001761D5">
            <w:pPr>
              <w:pStyle w:val="BodyText"/>
            </w:pPr>
            <w:r w:rsidRPr="001761D5">
              <w:t xml:space="preserve">This version was released in </w:t>
            </w:r>
            <w:r w:rsidRPr="001761D5">
              <w:rPr>
                <w:rStyle w:val="Emphasis"/>
              </w:rPr>
              <w:t>HLT Health Training Package release 2.0</w:t>
            </w:r>
            <w:r w:rsidRPr="001761D5">
              <w:t xml:space="preserve"> and meets the requirements of the 2012 Standards for Training Packages.</w:t>
            </w:r>
          </w:p>
          <w:p w:rsidR="00000000" w:rsidRPr="001761D5" w:rsidP="001761D5">
            <w:pPr>
              <w:pStyle w:val="BodyText"/>
            </w:pPr>
            <w:r w:rsidRPr="001761D5">
              <w:t>Significant changes to the elements and</w:t>
            </w:r>
            <w:r w:rsidRPr="001761D5">
              <w:t xml:space="preserve"> performance criteria. New evidence requirements for assessment, including volume and frequency requirements. Significant change to knowledge evidence - incorporates content from multiple units, including HLTAN403D/HLTAN404D.</w:t>
            </w:r>
          </w:p>
        </w:tc>
      </w:tr>
    </w:tbl>
    <w:p w:rsidR="00C80F41" w:rsidP="001761D5">
      <w:pPr>
        <w:pStyle w:val="BodyText"/>
      </w:pPr>
    </w:p>
    <w:p w:rsidR="00C80F41" w:rsidP="001761D5">
      <w:pPr>
        <w:pStyle w:val="BodyText"/>
      </w:pPr>
    </w:p>
    <w:p w:rsidR="00000000" w:rsidRPr="001761D5" w:rsidP="001761D5">
      <w:pPr>
        <w:pStyle w:val="Heading1"/>
      </w:pPr>
      <w:bookmarkStart w:id="8" w:name="O_742125"/>
      <w:bookmarkEnd w:id="8"/>
      <w:r w:rsidRPr="001761D5">
        <w:t>Performance Evidence</w:t>
      </w:r>
    </w:p>
    <w:p w:rsidR="00000000" w:rsidRPr="001761D5" w:rsidP="00C80F41">
      <w:pPr>
        <w:pStyle w:val="BodyText"/>
      </w:pPr>
      <w:r w:rsidRPr="001761D5">
        <w:t>The candidate must show evidence of the ability to complete tasks outlined in elements and performance criteria of this unit, manage tasks and manage contingencies in the context of the job role. There must be evidence that the candida</w:t>
      </w:r>
      <w:r w:rsidRPr="001761D5">
        <w:t>te has:</w:t>
      </w:r>
    </w:p>
    <w:p w:rsidR="00000000" w:rsidRPr="001761D5" w:rsidP="001761D5">
      <w:pPr>
        <w:pStyle w:val="ListBullet"/>
      </w:pPr>
      <w:r w:rsidRPr="001761D5">
        <w:t>provided monitoring assistance to an anaesthetist during at least 5 procedures</w:t>
      </w:r>
    </w:p>
    <w:p w:rsidR="00000000" w:rsidRPr="001761D5" w:rsidP="001761D5">
      <w:pPr>
        <w:pStyle w:val="ListBullet"/>
      </w:pPr>
      <w:r w:rsidRPr="001761D5">
        <w:t>followed established technical and infection control procedures to undertake each of the following clinical measurements and tests at least twice:</w:t>
      </w:r>
    </w:p>
    <w:p w:rsidR="00000000" w:rsidRPr="001761D5" w:rsidP="001761D5">
      <w:pPr>
        <w:pStyle w:val="ListBullet2"/>
      </w:pPr>
      <w:r w:rsidRPr="001761D5">
        <w:t>arterial blood gases</w:t>
      </w:r>
      <w:r w:rsidRPr="001761D5">
        <w:t xml:space="preserve"> </w:t>
      </w:r>
    </w:p>
    <w:p w:rsidR="00000000" w:rsidRPr="001761D5" w:rsidP="001761D5">
      <w:pPr>
        <w:pStyle w:val="ListBullet2"/>
      </w:pPr>
      <w:r w:rsidRPr="001761D5">
        <w:t>blood pressure</w:t>
      </w:r>
    </w:p>
    <w:p w:rsidR="00000000" w:rsidRPr="001761D5" w:rsidP="001761D5">
      <w:pPr>
        <w:pStyle w:val="ListBullet2"/>
      </w:pPr>
      <w:r w:rsidRPr="001761D5">
        <w:t xml:space="preserve">blood glucose level </w:t>
      </w:r>
    </w:p>
    <w:p w:rsidR="00000000" w:rsidRPr="001761D5" w:rsidP="001761D5">
      <w:pPr>
        <w:pStyle w:val="ListBullet2"/>
      </w:pPr>
      <w:r w:rsidRPr="001761D5">
        <w:t>circulation</w:t>
      </w:r>
    </w:p>
    <w:p w:rsidR="00000000" w:rsidRPr="001761D5" w:rsidP="001761D5">
      <w:pPr>
        <w:pStyle w:val="ListBullet2"/>
      </w:pPr>
      <w:r w:rsidRPr="001761D5">
        <w:t>electrocardiography (ECG)</w:t>
      </w:r>
    </w:p>
    <w:p w:rsidR="00000000" w:rsidRPr="001761D5" w:rsidP="001761D5">
      <w:pPr>
        <w:pStyle w:val="ListBullet2"/>
      </w:pPr>
      <w:r w:rsidRPr="001761D5">
        <w:t>12 lead ECG</w:t>
      </w:r>
    </w:p>
    <w:p w:rsidR="00000000" w:rsidRPr="001761D5" w:rsidP="001761D5">
      <w:pPr>
        <w:pStyle w:val="ListBullet2"/>
      </w:pPr>
      <w:r w:rsidRPr="001761D5">
        <w:t>haemoglobin</w:t>
      </w:r>
    </w:p>
    <w:p w:rsidR="00000000" w:rsidRPr="001761D5" w:rsidP="001761D5">
      <w:pPr>
        <w:pStyle w:val="ListBullet2"/>
      </w:pPr>
      <w:r w:rsidRPr="001761D5">
        <w:t>inspired/expired gases (Functional inspiratory oxygen (FiO2), Functional expiratory oxygen (FeO2), end-tidal carbon dioxide (ETCO2), tidal volume (TV), inspiratory pressure, minute volume (MV), respiratory rate (RR), minimal alveolar concentration (MAC)</w:t>
      </w:r>
    </w:p>
    <w:p w:rsidR="00000000" w:rsidRPr="001761D5" w:rsidP="001761D5">
      <w:pPr>
        <w:pStyle w:val="ListBullet2"/>
      </w:pPr>
      <w:r w:rsidRPr="001761D5">
        <w:t>le</w:t>
      </w:r>
      <w:r w:rsidRPr="001761D5">
        <w:t>vel of consciousness</w:t>
      </w:r>
    </w:p>
    <w:p w:rsidR="00000000" w:rsidRPr="001761D5" w:rsidP="001761D5">
      <w:pPr>
        <w:pStyle w:val="ListBullet2"/>
      </w:pPr>
      <w:r w:rsidRPr="001761D5">
        <w:t>neuromuscular function</w:t>
      </w:r>
    </w:p>
    <w:p w:rsidR="00000000" w:rsidRPr="001761D5" w:rsidP="001761D5">
      <w:pPr>
        <w:pStyle w:val="ListBullet2"/>
      </w:pPr>
      <w:r w:rsidRPr="001761D5">
        <w:t>oxygenation (oximetry, FiO2, partial pressure oxygen (PaO2)</w:t>
      </w:r>
    </w:p>
    <w:p w:rsidR="00000000" w:rsidRPr="001761D5" w:rsidP="001761D5">
      <w:pPr>
        <w:pStyle w:val="ListBullet2"/>
      </w:pPr>
      <w:r w:rsidRPr="001761D5">
        <w:t>pulse</w:t>
      </w:r>
    </w:p>
    <w:p w:rsidR="00000000" w:rsidRPr="001761D5" w:rsidP="001761D5">
      <w:pPr>
        <w:pStyle w:val="ListBullet2"/>
      </w:pPr>
      <w:r w:rsidRPr="001761D5">
        <w:t>respiration</w:t>
      </w:r>
    </w:p>
    <w:p w:rsidR="00000000" w:rsidRPr="001761D5" w:rsidP="001761D5">
      <w:pPr>
        <w:pStyle w:val="ListBullet2"/>
      </w:pPr>
      <w:r w:rsidRPr="001761D5">
        <w:t>temperature</w:t>
      </w:r>
    </w:p>
    <w:p w:rsidR="00000000" w:rsidRPr="001761D5" w:rsidP="001761D5">
      <w:pPr>
        <w:pStyle w:val="ListBullet2"/>
      </w:pPr>
      <w:r w:rsidRPr="001761D5">
        <w:t>fluid balance</w:t>
      </w:r>
    </w:p>
    <w:p w:rsidR="00000000" w:rsidRPr="001761D5" w:rsidP="001761D5">
      <w:pPr>
        <w:pStyle w:val="AllowPageBreak"/>
      </w:pPr>
    </w:p>
    <w:p w:rsidR="00000000" w:rsidRPr="001761D5" w:rsidP="001761D5">
      <w:pPr>
        <w:pStyle w:val="Heading1"/>
      </w:pPr>
      <w:bookmarkStart w:id="9" w:name="O_742126"/>
      <w:bookmarkEnd w:id="9"/>
      <w:r w:rsidRPr="001761D5">
        <w:t>Knowledge Evidence</w:t>
      </w:r>
    </w:p>
    <w:p w:rsidR="00000000" w:rsidRPr="001761D5" w:rsidP="00C80F41">
      <w:pPr>
        <w:pStyle w:val="BodyText"/>
      </w:pPr>
      <w:r w:rsidRPr="001761D5">
        <w:t>The candidate must be able to demon</w:t>
      </w:r>
      <w:r w:rsidRPr="001761D5">
        <w:t>strate essential knowledge required to effectively complete tasks outlined in elements and performance criteria of this unit, manage tasks and manage contingencies in the context of the work role. This includes knowledge of:</w:t>
      </w:r>
    </w:p>
    <w:p w:rsidR="00000000" w:rsidRPr="001761D5" w:rsidP="001761D5">
      <w:pPr>
        <w:pStyle w:val="ListBullet"/>
      </w:pPr>
      <w:r w:rsidRPr="001761D5">
        <w:t>legal and ethical consideratio</w:t>
      </w:r>
      <w:r w:rsidRPr="001761D5">
        <w:t>ns (national, state/territory) for client monitoring, and how these are applied in organisations:</w:t>
      </w:r>
    </w:p>
    <w:p w:rsidR="00000000" w:rsidRPr="001761D5" w:rsidP="001761D5">
      <w:pPr>
        <w:pStyle w:val="ListBullet2"/>
      </w:pPr>
      <w:r w:rsidRPr="001761D5">
        <w:t>codes of practice</w:t>
      </w:r>
    </w:p>
    <w:p w:rsidR="00000000" w:rsidRPr="001761D5" w:rsidP="001761D5">
      <w:pPr>
        <w:pStyle w:val="ListBullet2"/>
      </w:pPr>
      <w:r w:rsidRPr="001761D5">
        <w:t>duty of care</w:t>
      </w:r>
    </w:p>
    <w:p w:rsidR="00000000" w:rsidRPr="001761D5" w:rsidP="001761D5">
      <w:pPr>
        <w:pStyle w:val="ListBullet2"/>
      </w:pPr>
      <w:r w:rsidRPr="001761D5">
        <w:t xml:space="preserve">infection prevention and control </w:t>
      </w:r>
    </w:p>
    <w:p w:rsidR="00000000" w:rsidRPr="001761D5" w:rsidP="001761D5">
      <w:pPr>
        <w:pStyle w:val="ListBullet2"/>
      </w:pPr>
      <w:r w:rsidRPr="001761D5">
        <w:t xml:space="preserve">informed consent </w:t>
      </w:r>
    </w:p>
    <w:p w:rsidR="00000000" w:rsidRPr="001761D5" w:rsidP="001761D5">
      <w:pPr>
        <w:pStyle w:val="ListBullet2"/>
      </w:pPr>
      <w:r w:rsidRPr="001761D5">
        <w:t xml:space="preserve">mandatory reporting </w:t>
      </w:r>
    </w:p>
    <w:p w:rsidR="00000000" w:rsidRPr="001761D5" w:rsidP="001761D5">
      <w:pPr>
        <w:pStyle w:val="ListBullet2"/>
      </w:pPr>
      <w:r w:rsidRPr="001761D5">
        <w:t>manufacturer’s guidelines</w:t>
      </w:r>
    </w:p>
    <w:p w:rsidR="00000000" w:rsidRPr="001761D5" w:rsidP="001761D5">
      <w:pPr>
        <w:pStyle w:val="ListBullet2"/>
      </w:pPr>
      <w:r w:rsidRPr="001761D5">
        <w:t>privacy, confidentiality and disclosure</w:t>
      </w:r>
    </w:p>
    <w:p w:rsidR="00000000" w:rsidRPr="001761D5" w:rsidP="001761D5">
      <w:pPr>
        <w:pStyle w:val="ListBullet2"/>
      </w:pPr>
      <w:r w:rsidRPr="001761D5">
        <w:t xml:space="preserve">records management </w:t>
      </w:r>
    </w:p>
    <w:p w:rsidR="00000000" w:rsidRPr="001761D5" w:rsidP="001761D5">
      <w:pPr>
        <w:pStyle w:val="ListBullet2"/>
      </w:pPr>
      <w:r w:rsidRPr="001761D5">
        <w:t>rights and responsibilities of workers, employers and clients</w:t>
      </w:r>
    </w:p>
    <w:p w:rsidR="00000000" w:rsidRPr="001761D5" w:rsidP="001761D5">
      <w:pPr>
        <w:pStyle w:val="ListBullet2"/>
      </w:pPr>
      <w:r w:rsidRPr="001761D5">
        <w:t>work role boundaries – responsibilities and limitations</w:t>
      </w:r>
    </w:p>
    <w:p w:rsidR="00000000" w:rsidRPr="001761D5" w:rsidP="001761D5">
      <w:pPr>
        <w:pStyle w:val="ListBullet2"/>
      </w:pPr>
      <w:r w:rsidRPr="001761D5">
        <w:t>work health and safety</w:t>
      </w:r>
    </w:p>
    <w:p w:rsidR="00000000" w:rsidRPr="001761D5" w:rsidP="001761D5">
      <w:pPr>
        <w:pStyle w:val="ListBullet"/>
      </w:pPr>
      <w:r w:rsidRPr="001761D5">
        <w:t>clinical measurements undertaken by anaesthetic techni</w:t>
      </w:r>
      <w:r w:rsidRPr="001761D5">
        <w:t>cians:</w:t>
      </w:r>
    </w:p>
    <w:p w:rsidR="00000000" w:rsidRPr="001761D5" w:rsidP="001761D5">
      <w:pPr>
        <w:pStyle w:val="ListBullet2"/>
      </w:pPr>
      <w:r w:rsidRPr="001761D5">
        <w:t>purpose</w:t>
      </w:r>
    </w:p>
    <w:p w:rsidR="00000000" w:rsidRPr="001761D5" w:rsidP="001761D5">
      <w:pPr>
        <w:pStyle w:val="ListBullet2"/>
      </w:pPr>
      <w:r w:rsidRPr="001761D5">
        <w:t>how they are undertaken</w:t>
      </w:r>
    </w:p>
    <w:p w:rsidR="00000000" w:rsidRPr="001761D5" w:rsidP="001761D5">
      <w:pPr>
        <w:pStyle w:val="ListBullet2"/>
      </w:pPr>
      <w:r w:rsidRPr="001761D5">
        <w:t>normal results and variations from normal</w:t>
      </w:r>
    </w:p>
    <w:p w:rsidR="00000000" w:rsidRPr="001761D5" w:rsidP="001761D5">
      <w:pPr>
        <w:pStyle w:val="ListBullet2"/>
      </w:pPr>
      <w:r w:rsidRPr="001761D5">
        <w:t>implications of abnormal results for all of the following:</w:t>
      </w:r>
    </w:p>
    <w:p w:rsidR="00000000" w:rsidRPr="001761D5" w:rsidP="001761D5">
      <w:pPr>
        <w:pStyle w:val="ListBullet3"/>
      </w:pPr>
      <w:r w:rsidRPr="001761D5">
        <w:t xml:space="preserve">arterial blood gases </w:t>
      </w:r>
    </w:p>
    <w:p w:rsidR="00000000" w:rsidRPr="001761D5" w:rsidP="001761D5">
      <w:pPr>
        <w:pStyle w:val="ListBullet3"/>
      </w:pPr>
      <w:r w:rsidRPr="001761D5">
        <w:t>blood pressure</w:t>
      </w:r>
    </w:p>
    <w:p w:rsidR="00000000" w:rsidRPr="001761D5" w:rsidP="001761D5">
      <w:pPr>
        <w:pStyle w:val="ListBullet3"/>
      </w:pPr>
      <w:r w:rsidRPr="001761D5">
        <w:t>blood glucose level</w:t>
      </w:r>
    </w:p>
    <w:p w:rsidR="00000000" w:rsidRPr="001761D5" w:rsidP="001761D5">
      <w:pPr>
        <w:pStyle w:val="ListBullet3"/>
      </w:pPr>
      <w:r w:rsidRPr="001761D5">
        <w:t>peripheral perfusion/skin colour</w:t>
      </w:r>
    </w:p>
    <w:p w:rsidR="00000000" w:rsidRPr="001761D5" w:rsidP="001761D5">
      <w:pPr>
        <w:pStyle w:val="ListBullet3"/>
      </w:pPr>
      <w:r w:rsidRPr="001761D5">
        <w:t>haemodynamic (non-invasive blood pressure, invasive blood pressure, central venous pressure, pulmonary artery wedge pressure, pulse, heart rate, cardiac output)</w:t>
      </w:r>
    </w:p>
    <w:p w:rsidR="00000000" w:rsidRPr="001761D5" w:rsidP="001761D5">
      <w:pPr>
        <w:pStyle w:val="ListBullet3"/>
      </w:pPr>
      <w:r w:rsidRPr="001761D5">
        <w:t xml:space="preserve">dermatomes </w:t>
      </w:r>
    </w:p>
    <w:p w:rsidR="00000000" w:rsidRPr="001761D5" w:rsidP="001761D5">
      <w:pPr>
        <w:pStyle w:val="ListBullet3"/>
      </w:pPr>
      <w:r w:rsidRPr="001761D5">
        <w:t xml:space="preserve">ECG </w:t>
      </w:r>
    </w:p>
    <w:p w:rsidR="00000000" w:rsidRPr="001761D5" w:rsidP="001761D5">
      <w:pPr>
        <w:pStyle w:val="ListBullet3"/>
      </w:pPr>
      <w:r w:rsidRPr="001761D5">
        <w:t>12 lead ECG</w:t>
      </w:r>
    </w:p>
    <w:p w:rsidR="00000000" w:rsidRPr="001761D5" w:rsidP="001761D5">
      <w:pPr>
        <w:pStyle w:val="ListBullet3"/>
      </w:pPr>
      <w:r w:rsidRPr="001761D5">
        <w:t>haemoglobin</w:t>
      </w:r>
    </w:p>
    <w:p w:rsidR="00000000" w:rsidRPr="001761D5" w:rsidP="001761D5">
      <w:pPr>
        <w:pStyle w:val="ListBullet3"/>
      </w:pPr>
      <w:r w:rsidRPr="001761D5">
        <w:t>blood tests samples for urea and electrolytes (U&amp;E), c</w:t>
      </w:r>
      <w:r w:rsidRPr="001761D5">
        <w:t xml:space="preserve">oagulation profile (coags), full blood count (FBC), </w:t>
      </w:r>
    </w:p>
    <w:p w:rsidR="00000000" w:rsidRPr="001761D5" w:rsidP="001761D5">
      <w:pPr>
        <w:pStyle w:val="ListBullet3"/>
      </w:pPr>
      <w:r w:rsidRPr="001761D5">
        <w:t>inspired/expired gases (FiO2, FeO2, ETCO2, TV, insp pressure, MV, RR, MAC)</w:t>
      </w:r>
    </w:p>
    <w:p w:rsidR="00000000" w:rsidRPr="001761D5" w:rsidP="001761D5">
      <w:pPr>
        <w:pStyle w:val="ListBullet3"/>
      </w:pPr>
      <w:r w:rsidRPr="001761D5">
        <w:t>level of consciousness clinical observation &amp; entropy/bispectral index monitoring)</w:t>
      </w:r>
    </w:p>
    <w:p w:rsidR="00000000" w:rsidRPr="001761D5" w:rsidP="001761D5">
      <w:pPr>
        <w:pStyle w:val="ListBullet3"/>
      </w:pPr>
      <w:r w:rsidRPr="001761D5">
        <w:t>neuromuscular function</w:t>
      </w:r>
    </w:p>
    <w:p w:rsidR="00000000" w:rsidRPr="001761D5" w:rsidP="001761D5">
      <w:pPr>
        <w:pStyle w:val="ListBullet3"/>
      </w:pPr>
      <w:r w:rsidRPr="001761D5">
        <w:t>oxygenation (oximetry, FiO2, PaO2</w:t>
      </w:r>
    </w:p>
    <w:p w:rsidR="00000000" w:rsidRPr="001761D5" w:rsidP="001761D5">
      <w:pPr>
        <w:pStyle w:val="ListBullet3"/>
      </w:pPr>
      <w:r w:rsidRPr="001761D5">
        <w:t xml:space="preserve">pain assessment </w:t>
      </w:r>
    </w:p>
    <w:p w:rsidR="00000000" w:rsidRPr="001761D5" w:rsidP="001761D5">
      <w:pPr>
        <w:pStyle w:val="ListBullet3"/>
      </w:pPr>
      <w:r w:rsidRPr="001761D5">
        <w:t>temperature</w:t>
      </w:r>
    </w:p>
    <w:p w:rsidR="00000000" w:rsidRPr="001761D5" w:rsidP="001761D5">
      <w:pPr>
        <w:pStyle w:val="ListBullet3"/>
      </w:pPr>
      <w:r w:rsidRPr="001761D5">
        <w:t>acid base balance</w:t>
      </w:r>
    </w:p>
    <w:p w:rsidR="00000000" w:rsidRPr="001761D5" w:rsidP="001761D5">
      <w:pPr>
        <w:pStyle w:val="ListBullet3"/>
      </w:pPr>
      <w:r w:rsidRPr="001761D5">
        <w:t>heart &amp; lung sounds</w:t>
      </w:r>
    </w:p>
    <w:p w:rsidR="00000000" w:rsidRPr="001761D5" w:rsidP="001761D5">
      <w:pPr>
        <w:pStyle w:val="ListBullet"/>
      </w:pPr>
      <w:r w:rsidRPr="001761D5">
        <w:t>fluid balance monitoring requirements, including:</w:t>
      </w:r>
    </w:p>
    <w:p w:rsidR="00000000" w:rsidRPr="001761D5" w:rsidP="001761D5">
      <w:pPr>
        <w:pStyle w:val="ListBullet2"/>
      </w:pPr>
      <w:r w:rsidRPr="001761D5">
        <w:t>urine</w:t>
      </w:r>
    </w:p>
    <w:p w:rsidR="00000000" w:rsidRPr="001761D5" w:rsidP="001761D5">
      <w:pPr>
        <w:pStyle w:val="ListBullet2"/>
      </w:pPr>
      <w:r w:rsidRPr="001761D5">
        <w:t>gastrointestinal</w:t>
      </w:r>
    </w:p>
    <w:p w:rsidR="00000000" w:rsidRPr="001761D5" w:rsidP="001761D5">
      <w:pPr>
        <w:pStyle w:val="ListBullet2"/>
      </w:pPr>
      <w:r w:rsidRPr="001761D5">
        <w:t>blood</w:t>
      </w:r>
    </w:p>
    <w:p w:rsidR="00000000" w:rsidRPr="001761D5" w:rsidP="001761D5">
      <w:pPr>
        <w:pStyle w:val="ListBullet2"/>
      </w:pPr>
      <w:r w:rsidRPr="001761D5">
        <w:t>irrigation</w:t>
      </w:r>
    </w:p>
    <w:p w:rsidR="00000000" w:rsidRPr="001761D5" w:rsidP="001761D5">
      <w:pPr>
        <w:pStyle w:val="ListBullet2"/>
      </w:pPr>
      <w:r w:rsidRPr="001761D5">
        <w:t>intravenous</w:t>
      </w:r>
    </w:p>
    <w:p w:rsidR="00000000" w:rsidRPr="001761D5" w:rsidP="001761D5">
      <w:pPr>
        <w:pStyle w:val="ListBullet2"/>
      </w:pPr>
      <w:r w:rsidRPr="001761D5">
        <w:t>intra-arterial</w:t>
      </w:r>
    </w:p>
    <w:p w:rsidR="00000000" w:rsidRPr="001761D5" w:rsidP="001761D5">
      <w:pPr>
        <w:pStyle w:val="ListBullet"/>
      </w:pPr>
      <w:r w:rsidRPr="001761D5">
        <w:t>clinical documentation requirements</w:t>
      </w:r>
    </w:p>
    <w:p w:rsidR="00000000" w:rsidRPr="001761D5" w:rsidP="001761D5">
      <w:pPr>
        <w:pStyle w:val="ListBullet"/>
      </w:pPr>
      <w:r w:rsidRPr="001761D5">
        <w:t>principles of biomedical science for anaesthesia:</w:t>
      </w:r>
    </w:p>
    <w:p w:rsidR="00000000" w:rsidRPr="001761D5" w:rsidP="001761D5">
      <w:pPr>
        <w:pStyle w:val="ListBullet2"/>
      </w:pPr>
      <w:r w:rsidRPr="001761D5">
        <w:t>electrical potential</w:t>
      </w:r>
    </w:p>
    <w:p w:rsidR="00000000" w:rsidRPr="001761D5" w:rsidP="001761D5">
      <w:pPr>
        <w:pStyle w:val="ListBullet2"/>
      </w:pPr>
      <w:r w:rsidRPr="001761D5">
        <w:t>fibreoptics</w:t>
      </w:r>
    </w:p>
    <w:p w:rsidR="00000000" w:rsidRPr="001761D5" w:rsidP="001761D5">
      <w:pPr>
        <w:pStyle w:val="ListBullet2"/>
      </w:pPr>
      <w:r w:rsidRPr="001761D5">
        <w:t>hydrostatic/atmospheric/oncotic pressure</w:t>
      </w:r>
    </w:p>
    <w:p w:rsidR="00000000" w:rsidRPr="001761D5" w:rsidP="001761D5">
      <w:pPr>
        <w:pStyle w:val="ListBullet2"/>
      </w:pPr>
      <w:r w:rsidRPr="001761D5">
        <w:t>oscillometry</w:t>
      </w:r>
    </w:p>
    <w:p w:rsidR="00000000" w:rsidRPr="001761D5" w:rsidP="001761D5">
      <w:pPr>
        <w:pStyle w:val="ListBullet2"/>
      </w:pPr>
      <w:r w:rsidRPr="001761D5">
        <w:t>photometrics/photoelectrics</w:t>
      </w:r>
    </w:p>
    <w:p w:rsidR="00000000" w:rsidRPr="001761D5" w:rsidP="001761D5">
      <w:pPr>
        <w:pStyle w:val="ListBullet2"/>
      </w:pPr>
      <w:r w:rsidRPr="001761D5">
        <w:t>thermistor</w:t>
      </w:r>
    </w:p>
    <w:p w:rsidR="00000000" w:rsidRPr="001761D5" w:rsidP="001761D5">
      <w:pPr>
        <w:pStyle w:val="ListBullet2"/>
      </w:pPr>
      <w:r w:rsidRPr="001761D5">
        <w:t>transducers</w:t>
      </w:r>
    </w:p>
    <w:p w:rsidR="00000000" w:rsidRPr="001761D5" w:rsidP="001761D5">
      <w:pPr>
        <w:pStyle w:val="AllowPageBreak"/>
      </w:pPr>
    </w:p>
    <w:p w:rsidR="00000000" w:rsidRPr="001761D5" w:rsidP="001761D5">
      <w:pPr>
        <w:pStyle w:val="Heading1"/>
      </w:pPr>
      <w:bookmarkStart w:id="10" w:name="O_742127"/>
      <w:bookmarkEnd w:id="10"/>
      <w:r w:rsidRPr="001761D5">
        <w:t>Assessment Conditions</w:t>
      </w:r>
    </w:p>
    <w:p w:rsidR="00000000" w:rsidRPr="001761D5" w:rsidP="00C80F41">
      <w:pPr>
        <w:pStyle w:val="BodyText"/>
      </w:pPr>
      <w:r w:rsidRPr="001761D5">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1761D5" w:rsidP="001761D5">
      <w:pPr>
        <w:pStyle w:val="ListBullet"/>
      </w:pPr>
      <w:r w:rsidRPr="001761D5">
        <w:t>use of suitabl</w:t>
      </w:r>
      <w:r w:rsidRPr="001761D5">
        <w:t>e facilities, equipment and resources, including those required by tests specified in performance evidence</w:t>
      </w:r>
    </w:p>
    <w:p w:rsidR="00000000" w:rsidRPr="001761D5" w:rsidP="001761D5">
      <w:pPr>
        <w:pStyle w:val="ListBullet"/>
      </w:pPr>
      <w:r w:rsidRPr="001761D5">
        <w:t>modelling of industry operating conditions, including presence of situations requiring problem solving in non-routine situations</w:t>
      </w:r>
    </w:p>
    <w:p w:rsidR="00000000" w:rsidRPr="001761D5" w:rsidP="001761D5">
      <w:pPr>
        <w:pStyle w:val="BodyText"/>
      </w:pPr>
    </w:p>
    <w:p w:rsidR="00000000" w:rsidRPr="001761D5" w:rsidP="00C80F41">
      <w:pPr>
        <w:pStyle w:val="BodyText"/>
      </w:pPr>
      <w:r w:rsidRPr="001761D5">
        <w:t>Assessors must sati</w:t>
      </w:r>
      <w:r w:rsidRPr="001761D5">
        <w:t>sfy the Standards for Registered Training Organisations (RTOs) 2015/AQTF mandatory competency requirements for assessors.</w:t>
      </w:r>
    </w:p>
    <w:p w:rsidR="00000000" w:rsidRPr="001761D5" w:rsidP="001761D5">
      <w:pPr>
        <w:pStyle w:val="Heading1"/>
      </w:pPr>
      <w:bookmarkStart w:id="11" w:name="O_742130"/>
      <w:bookmarkEnd w:id="11"/>
      <w:r w:rsidRPr="001761D5">
        <w:t>Links</w:t>
      </w:r>
    </w:p>
    <w:p w:rsidR="00000000" w:rsidRPr="001761D5" w:rsidP="00C80F41">
      <w:pPr>
        <w:pStyle w:val="BodyText"/>
      </w:pPr>
      <w:r w:rsidRPr="001761D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788D">
        <w:rPr>
          <w:rStyle w:val="Hyperlink"/>
        </w:rPr>
        <w:t>https://vetnet.gov.au/Pages/TrainingDocs.aspx?q=ced1390f-48d9-4ab0-bd50-b015e5485705</w:t>
      </w:r>
      <w:r>
        <w:fldChar w:fldCharType="end"/>
      </w:r>
    </w:p>
    <w:p w:rsidR="00000000" w:rsidRPr="001761D5" w:rsidP="001761D5"/>
    <w:sectPr w:rsidSect="001761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rsidRPr="00C80F41" w:rsidP="00C80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41" w:rsidP="00176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0F41" w:rsidP="001761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80F41" w:rsidP="001761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rsidP="001761D5">
    <w:pPr>
      <w:pStyle w:val="Footer"/>
      <w:framePr w:wrap="around"/>
    </w:pPr>
    <w:r>
      <w:fldChar w:fldCharType="begin"/>
    </w:r>
    <w:r>
      <w:instrText xml:space="preserve"> DOCPROPERTY  Subject  \* MERGEFORMAT </w:instrText>
    </w:r>
    <w:r>
      <w:fldChar w:fldCharType="separate"/>
    </w:r>
    <w:r w:rsidR="00C80F41">
      <w:t>Approved</w:t>
    </w:r>
    <w:r w:rsidR="00C80F41">
      <w:fldChar w:fldCharType="end"/>
    </w:r>
    <w:r>
      <w:tab/>
      <w:t xml:space="preserve">Page </w:t>
    </w:r>
    <w:r>
      <w:fldChar w:fldCharType="begin"/>
    </w:r>
    <w:r>
      <w:instrText xml:space="preserve"> PAGE  \* Arabic  \* MERGEFORMAT </w:instrText>
    </w:r>
    <w:r>
      <w:fldChar w:fldCharType="separate"/>
    </w:r>
    <w:r w:rsidR="00C80F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0F41">
      <w:rPr>
        <w:noProof/>
      </w:rPr>
      <w:t>5</w:t>
    </w:r>
    <w:r>
      <w:rPr>
        <w:noProof/>
      </w:rPr>
      <w:fldChar w:fldCharType="end"/>
    </w:r>
  </w:p>
  <w:p w:rsidR="001761D5" w:rsidP="001761D5">
    <w:pPr>
      <w:pStyle w:val="Footer"/>
      <w:framePr w:wrap="around"/>
    </w:pPr>
    <w:r>
      <w:t xml:space="preserve">© Commonwealth of Australia, </w:t>
    </w:r>
    <w:r>
      <w:fldChar w:fldCharType="begin"/>
    </w:r>
    <w:r>
      <w:instrText xml:space="preserve"> DATE  \@ "yyyy"  \* MERGEFORMAT </w:instrText>
    </w:r>
    <w:r>
      <w:fldChar w:fldCharType="separate"/>
    </w:r>
    <w:r w:rsidR="00C80F41">
      <w:rPr>
        <w:noProof/>
      </w:rPr>
      <w:t>2025</w:t>
    </w:r>
    <w:r>
      <w:fldChar w:fldCharType="end"/>
    </w:r>
    <w:r>
      <w:tab/>
    </w:r>
    <w:r>
      <w:fldChar w:fldCharType="begin"/>
    </w:r>
    <w:r>
      <w:instrText xml:space="preserve"> DOCPROPERTY  Author  \* MERGEFORMAT </w:instrText>
    </w:r>
    <w:r>
      <w:fldChar w:fldCharType="separate"/>
    </w:r>
    <w:r w:rsidR="00C80F41">
      <w:t>HumanAbility</w:t>
    </w:r>
    <w:r w:rsidR="00C80F41">
      <w:fldChar w:fldCharType="end"/>
    </w:r>
  </w:p>
  <w:p w:rsidR="001761D5" w:rsidP="00176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1D5" w:rsidRPr="00C80F41" w:rsidP="00C80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41" w:rsidRPr="002D2AF8" w:rsidP="001761D5">
    <w:pPr>
      <w:pStyle w:val="Header"/>
      <w:framePr w:wrap="around"/>
    </w:pPr>
    <w:r>
      <w:fldChar w:fldCharType="begin"/>
    </w:r>
    <w:r>
      <w:instrText xml:space="preserve"> TITLE   \* MERGEFORMAT </w:instrText>
    </w:r>
    <w:r>
      <w:fldChar w:fldCharType="separate"/>
    </w:r>
    <w:r>
      <w:t>HLTANA002 Monitor clients during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0F41" w:rsidP="001761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D5" w:rsidRPr="002D2AF8" w:rsidP="001761D5">
    <w:pPr>
      <w:pStyle w:val="Header"/>
      <w:framePr w:wrap="around"/>
    </w:pPr>
    <w:r>
      <w:fldChar w:fldCharType="begin"/>
    </w:r>
    <w:r>
      <w:instrText xml:space="preserve"> TITLE   \* MERGEFORMAT </w:instrText>
    </w:r>
    <w:r>
      <w:fldChar w:fldCharType="separate"/>
    </w:r>
    <w:r w:rsidR="00C80F41">
      <w:t>HLTANA002 Monitor clients during anaesthesia</w:t>
    </w:r>
    <w:r w:rsidR="00C80F41">
      <w:fldChar w:fldCharType="end"/>
    </w:r>
    <w:r>
      <w:tab/>
      <w:t xml:space="preserve">Date this document was generated: </w:t>
    </w:r>
    <w:r>
      <w:fldChar w:fldCharType="begin"/>
    </w:r>
    <w:r>
      <w:instrText xml:space="preserve"> CREATEDATE  \@ "d MMMM yyyy"  \* MERGEFORMAT </w:instrText>
    </w:r>
    <w:r>
      <w:fldChar w:fldCharType="separate"/>
    </w:r>
    <w:r w:rsidR="00C80F41">
      <w:rPr>
        <w:noProof/>
      </w:rPr>
      <w:t>2 March 2025</w:t>
    </w:r>
    <w:r>
      <w:fldChar w:fldCharType="end"/>
    </w:r>
  </w:p>
  <w:p w:rsidR="001761D5" w:rsidP="00176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20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0F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8A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1D5"/>
    <w:pPr>
      <w:spacing w:before="360" w:after="60"/>
      <w:outlineLvl w:val="0"/>
    </w:pPr>
    <w:rPr>
      <w:sz w:val="32"/>
    </w:rPr>
  </w:style>
  <w:style w:type="paragraph" w:styleId="Heading2">
    <w:name w:val="heading 2"/>
    <w:basedOn w:val="HeadingBase"/>
    <w:next w:val="BodyText"/>
    <w:link w:val="Heading2Char"/>
    <w:qFormat/>
    <w:rsid w:val="001761D5"/>
    <w:pPr>
      <w:keepLines/>
      <w:spacing w:before="240" w:after="120"/>
      <w:outlineLvl w:val="1"/>
    </w:pPr>
    <w:rPr>
      <w:sz w:val="28"/>
      <w:szCs w:val="40"/>
    </w:rPr>
  </w:style>
  <w:style w:type="paragraph" w:styleId="Heading3">
    <w:name w:val="heading 3"/>
    <w:basedOn w:val="HeadingBase"/>
    <w:next w:val="BodyText"/>
    <w:link w:val="Heading3Char"/>
    <w:qFormat/>
    <w:rsid w:val="001761D5"/>
    <w:pPr>
      <w:spacing w:before="180" w:after="120"/>
      <w:outlineLvl w:val="2"/>
    </w:pPr>
    <w:rPr>
      <w:spacing w:val="-10"/>
      <w:kern w:val="32"/>
    </w:rPr>
  </w:style>
  <w:style w:type="paragraph" w:styleId="Heading4">
    <w:name w:val="heading 4"/>
    <w:basedOn w:val="HeadingBase"/>
    <w:next w:val="BodyText"/>
    <w:link w:val="Heading4Char"/>
    <w:qFormat/>
    <w:rsid w:val="001761D5"/>
    <w:pPr>
      <w:spacing w:before="160" w:after="120"/>
      <w:outlineLvl w:val="3"/>
    </w:pPr>
    <w:rPr>
      <w:sz w:val="22"/>
    </w:rPr>
  </w:style>
  <w:style w:type="paragraph" w:styleId="Heading5">
    <w:name w:val="heading 5"/>
    <w:basedOn w:val="HeadingBase"/>
    <w:next w:val="Normal"/>
    <w:link w:val="Heading5Char"/>
    <w:qFormat/>
    <w:rsid w:val="001761D5"/>
    <w:pPr>
      <w:spacing w:before="80"/>
      <w:outlineLvl w:val="4"/>
    </w:pPr>
    <w:rPr>
      <w:color w:val="918585"/>
      <w:sz w:val="20"/>
    </w:rPr>
  </w:style>
  <w:style w:type="paragraph" w:styleId="Heading6">
    <w:name w:val="heading 6"/>
    <w:basedOn w:val="HeadingBase"/>
    <w:next w:val="Normal"/>
    <w:link w:val="Heading6Char"/>
    <w:qFormat/>
    <w:rsid w:val="001761D5"/>
    <w:pPr>
      <w:spacing w:before="60"/>
      <w:outlineLvl w:val="5"/>
    </w:pPr>
    <w:rPr>
      <w:color w:val="918585"/>
      <w:sz w:val="20"/>
    </w:rPr>
  </w:style>
  <w:style w:type="paragraph" w:styleId="Heading7">
    <w:name w:val="heading 7"/>
    <w:basedOn w:val="Normal"/>
    <w:next w:val="Normal"/>
    <w:link w:val="Heading7Char"/>
    <w:qFormat/>
    <w:rsid w:val="001761D5"/>
    <w:pPr>
      <w:ind w:left="720"/>
      <w:outlineLvl w:val="6"/>
    </w:pPr>
    <w:rPr>
      <w:i/>
    </w:rPr>
  </w:style>
  <w:style w:type="paragraph" w:styleId="Heading8">
    <w:name w:val="heading 8"/>
    <w:basedOn w:val="Normal"/>
    <w:next w:val="Normal"/>
    <w:link w:val="Heading8Char"/>
    <w:qFormat/>
    <w:rsid w:val="001761D5"/>
    <w:pPr>
      <w:ind w:left="720"/>
      <w:outlineLvl w:val="7"/>
    </w:pPr>
    <w:rPr>
      <w:i/>
    </w:rPr>
  </w:style>
  <w:style w:type="paragraph" w:styleId="Heading9">
    <w:name w:val="heading 9"/>
    <w:basedOn w:val="Normal"/>
    <w:next w:val="Normal"/>
    <w:link w:val="Heading9Char"/>
    <w:qFormat/>
    <w:rsid w:val="001761D5"/>
    <w:pPr>
      <w:ind w:left="720"/>
      <w:outlineLvl w:val="8"/>
    </w:pPr>
    <w:rPr>
      <w:i/>
    </w:rPr>
  </w:style>
  <w:style w:type="character" w:default="1" w:styleId="DefaultParagraphFont">
    <w:name w:val="Default Paragraph Font"/>
    <w:uiPriority w:val="1"/>
    <w:unhideWhenUsed/>
    <w:rsid w:val="00176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1D5"/>
  </w:style>
  <w:style w:type="character" w:customStyle="1" w:styleId="Heading1Char">
    <w:name w:val="Heading 1 Char"/>
    <w:basedOn w:val="DefaultParagraphFont"/>
    <w:link w:val="Heading1"/>
    <w:rsid w:val="001761D5"/>
    <w:rPr>
      <w:rFonts w:ascii="Times New Roman" w:eastAsia="Times New Roman" w:hAnsi="Times New Roman" w:cs="Times New Roman"/>
      <w:b/>
      <w:sz w:val="32"/>
      <w:szCs w:val="20"/>
      <w:lang w:eastAsia="en-US"/>
    </w:rPr>
  </w:style>
  <w:style w:type="paragraph" w:styleId="BodyText">
    <w:name w:val="Body Text"/>
    <w:basedOn w:val="Normal"/>
    <w:link w:val="BodyTextChar"/>
    <w:rsid w:val="00176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1D5"/>
    <w:rPr>
      <w:rFonts w:ascii="Times New Roman" w:eastAsia="Times New Roman" w:hAnsi="Times New Roman" w:cs="Times New Roman"/>
      <w:sz w:val="24"/>
      <w:lang w:eastAsia="en-US"/>
    </w:rPr>
  </w:style>
  <w:style w:type="paragraph" w:styleId="ListBullet">
    <w:name w:val="List Bullet"/>
    <w:basedOn w:val="List"/>
    <w:rsid w:val="001761D5"/>
    <w:pPr>
      <w:numPr>
        <w:numId w:val="13"/>
      </w:numPr>
      <w:tabs>
        <w:tab w:val="clear" w:pos="340"/>
      </w:tabs>
      <w:spacing w:before="40" w:after="40"/>
    </w:pPr>
  </w:style>
  <w:style w:type="character" w:customStyle="1" w:styleId="SpecialBold">
    <w:name w:val="Special Bold"/>
    <w:basedOn w:val="DefaultParagraphFont"/>
    <w:rsid w:val="001761D5"/>
    <w:rPr>
      <w:b/>
      <w:spacing w:val="0"/>
    </w:rPr>
  </w:style>
  <w:style w:type="paragraph" w:styleId="ListBullet2">
    <w:name w:val="List Bullet 2"/>
    <w:basedOn w:val="List2"/>
    <w:rsid w:val="001761D5"/>
    <w:pPr>
      <w:numPr>
        <w:numId w:val="14"/>
      </w:numPr>
      <w:tabs>
        <w:tab w:val="clear" w:pos="680"/>
      </w:tabs>
    </w:pPr>
  </w:style>
  <w:style w:type="character" w:styleId="Emphasis">
    <w:name w:val="Emphasis"/>
    <w:basedOn w:val="DefaultParagraphFont"/>
    <w:qFormat/>
    <w:rsid w:val="001761D5"/>
    <w:rPr>
      <w:i/>
    </w:rPr>
  </w:style>
  <w:style w:type="paragraph" w:customStyle="1" w:styleId="SuperHeading">
    <w:name w:val="SuperHeading"/>
    <w:basedOn w:val="Normal"/>
    <w:rsid w:val="001761D5"/>
    <w:pPr>
      <w:spacing w:before="240" w:after="120"/>
      <w:outlineLvl w:val="0"/>
    </w:pPr>
    <w:rPr>
      <w:rFonts w:ascii="Times New Roman" w:hAnsi="Times New Roman"/>
      <w:b/>
      <w:sz w:val="32"/>
    </w:rPr>
  </w:style>
  <w:style w:type="paragraph" w:customStyle="1" w:styleId="AllowPageBreak">
    <w:name w:val="AllowPageBreak"/>
    <w:rsid w:val="001761D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761D5"/>
    <w:pPr>
      <w:ind w:firstLine="0"/>
    </w:pPr>
  </w:style>
  <w:style w:type="paragraph" w:styleId="ListBullet3">
    <w:name w:val="List Bullet 3"/>
    <w:basedOn w:val="List3"/>
    <w:rsid w:val="001761D5"/>
    <w:pPr>
      <w:numPr>
        <w:numId w:val="3"/>
      </w:numPr>
      <w:tabs>
        <w:tab w:val="clear" w:pos="1021"/>
      </w:tabs>
      <w:ind w:left="1037" w:hanging="357"/>
    </w:pPr>
  </w:style>
  <w:style w:type="character" w:customStyle="1" w:styleId="Heading2Char">
    <w:name w:val="Heading 2 Char"/>
    <w:basedOn w:val="DefaultParagraphFont"/>
    <w:link w:val="Heading2"/>
    <w:rsid w:val="00176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1D5"/>
    <w:rPr>
      <w:rFonts w:ascii="Courier New" w:eastAsia="Times New Roman" w:hAnsi="Courier New" w:cs="Times New Roman"/>
      <w:i/>
      <w:szCs w:val="20"/>
      <w:lang w:eastAsia="en-US"/>
    </w:rPr>
  </w:style>
  <w:style w:type="paragraph" w:customStyle="1" w:styleId="HeadingBase">
    <w:name w:val="Heading Base"/>
    <w:rsid w:val="00176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1D5"/>
    <w:pPr>
      <w:tabs>
        <w:tab w:val="right" w:leader="dot" w:pos="9072"/>
      </w:tabs>
      <w:ind w:left="567"/>
    </w:pPr>
    <w:rPr>
      <w:szCs w:val="22"/>
    </w:rPr>
  </w:style>
  <w:style w:type="paragraph" w:customStyle="1" w:styleId="TOCBase">
    <w:name w:val="TOC Base"/>
    <w:rsid w:val="00176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1D5"/>
    <w:pPr>
      <w:tabs>
        <w:tab w:val="right" w:leader="dot" w:pos="9072"/>
      </w:tabs>
      <w:spacing w:before="40" w:after="40"/>
      <w:ind w:left="284"/>
    </w:pPr>
    <w:rPr>
      <w:rFonts w:ascii="Times New Roman" w:hAnsi="Times New Roman"/>
    </w:rPr>
  </w:style>
  <w:style w:type="paragraph" w:styleId="TOC1">
    <w:name w:val="toc 1"/>
    <w:basedOn w:val="TOCBase"/>
    <w:next w:val="Normal"/>
    <w:rsid w:val="00176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1D5"/>
    <w:rPr>
      <w:rFonts w:ascii="Times New Roman" w:eastAsia="Times New Roman" w:hAnsi="Times New Roman" w:cs="Times New Roman"/>
      <w:sz w:val="16"/>
      <w:lang w:eastAsia="en-US"/>
    </w:rPr>
  </w:style>
  <w:style w:type="paragraph" w:styleId="Title">
    <w:name w:val="Title"/>
    <w:basedOn w:val="HeadingBase"/>
    <w:link w:val="TitleChar"/>
    <w:qFormat/>
    <w:rsid w:val="001761D5"/>
    <w:pPr>
      <w:spacing w:before="5040"/>
      <w:jc w:val="center"/>
    </w:pPr>
    <w:rPr>
      <w:sz w:val="48"/>
      <w:szCs w:val="72"/>
      <w:lang w:val="en-US"/>
    </w:rPr>
  </w:style>
  <w:style w:type="character" w:customStyle="1" w:styleId="TitleChar">
    <w:name w:val="Title Char"/>
    <w:basedOn w:val="DefaultParagraphFont"/>
    <w:link w:val="Title"/>
    <w:rsid w:val="00176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1D5"/>
    <w:pPr>
      <w:tabs>
        <w:tab w:val="left" w:pos="3600"/>
        <w:tab w:val="left" w:pos="3958"/>
      </w:tabs>
    </w:pPr>
  </w:style>
  <w:style w:type="paragraph" w:styleId="List">
    <w:name w:val="List"/>
    <w:basedOn w:val="BodyText"/>
    <w:next w:val="BodyText"/>
    <w:rsid w:val="001761D5"/>
    <w:pPr>
      <w:tabs>
        <w:tab w:val="left" w:pos="340"/>
      </w:tabs>
      <w:spacing w:before="60" w:after="60"/>
      <w:ind w:left="340" w:hanging="340"/>
    </w:pPr>
  </w:style>
  <w:style w:type="paragraph" w:customStyle="1" w:styleId="Note">
    <w:name w:val="Note"/>
    <w:basedOn w:val="BodyText"/>
    <w:rsid w:val="00176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1D5"/>
    <w:pPr>
      <w:framePr w:wrap="auto" w:hAnchor="text" w:y="6049"/>
    </w:pPr>
    <w:rPr>
      <w:color w:val="000000"/>
      <w:sz w:val="40"/>
    </w:rPr>
  </w:style>
  <w:style w:type="paragraph" w:customStyle="1" w:styleId="TOCTitle">
    <w:name w:val="TOCTitle"/>
    <w:basedOn w:val="Heading1"/>
    <w:rsid w:val="001761D5"/>
    <w:pPr>
      <w:spacing w:after="240"/>
      <w:jc w:val="center"/>
      <w:outlineLvl w:val="9"/>
    </w:pPr>
    <w:rPr>
      <w:caps/>
    </w:rPr>
  </w:style>
  <w:style w:type="paragraph" w:customStyle="1" w:styleId="Version">
    <w:name w:val="Version"/>
    <w:rsid w:val="00176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1D5"/>
    <w:pPr>
      <w:keepNext w:val="0"/>
      <w:tabs>
        <w:tab w:val="right" w:pos="4176"/>
      </w:tabs>
      <w:ind w:left="198" w:hanging="198"/>
    </w:pPr>
    <w:rPr>
      <w:rFonts w:ascii="Garamond" w:hAnsi="Garamond"/>
    </w:rPr>
  </w:style>
  <w:style w:type="paragraph" w:styleId="IndexHeading">
    <w:name w:val="index heading"/>
    <w:basedOn w:val="Normal"/>
    <w:next w:val="Index1"/>
    <w:semiHidden/>
    <w:rsid w:val="001761D5"/>
    <w:pPr>
      <w:spacing w:before="120" w:after="120"/>
    </w:pPr>
    <w:rPr>
      <w:rFonts w:ascii="Arial" w:hAnsi="Arial"/>
      <w:b/>
      <w:color w:val="918585"/>
      <w:sz w:val="24"/>
    </w:rPr>
  </w:style>
  <w:style w:type="paragraph" w:styleId="Header">
    <w:name w:val="header"/>
    <w:basedOn w:val="Normal"/>
    <w:link w:val="HeaderChar"/>
    <w:rsid w:val="00176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1D5"/>
    <w:rPr>
      <w:rFonts w:ascii="Times New Roman" w:eastAsia="Times New Roman" w:hAnsi="Times New Roman" w:cs="Times New Roman"/>
      <w:sz w:val="16"/>
      <w:szCs w:val="20"/>
      <w:lang w:val="en-GB" w:eastAsia="en-US"/>
    </w:rPr>
  </w:style>
  <w:style w:type="paragraph" w:customStyle="1" w:styleId="Chapter">
    <w:name w:val="Chapter"/>
    <w:basedOn w:val="Normal"/>
    <w:rsid w:val="001761D5"/>
    <w:pPr>
      <w:spacing w:before="240"/>
    </w:pPr>
    <w:rPr>
      <w:rFonts w:ascii="Times New Roman" w:hAnsi="Times New Roman"/>
      <w:smallCaps/>
      <w:spacing w:val="80"/>
      <w:sz w:val="28"/>
    </w:rPr>
  </w:style>
  <w:style w:type="paragraph" w:customStyle="1" w:styleId="InChapter">
    <w:name w:val="InChapter"/>
    <w:basedOn w:val="Heading3"/>
    <w:rsid w:val="001761D5"/>
    <w:pPr>
      <w:spacing w:after="240"/>
      <w:outlineLvl w:val="9"/>
    </w:pPr>
    <w:rPr>
      <w:noProof/>
    </w:rPr>
  </w:style>
  <w:style w:type="paragraph" w:styleId="Index2">
    <w:name w:val="index 2"/>
    <w:basedOn w:val="Normal"/>
    <w:next w:val="Normal"/>
    <w:semiHidden/>
    <w:rsid w:val="001761D5"/>
    <w:pPr>
      <w:tabs>
        <w:tab w:val="right" w:pos="4176"/>
      </w:tabs>
      <w:ind w:left="568" w:hanging="284"/>
    </w:pPr>
    <w:rPr>
      <w:rFonts w:ascii="Garamond" w:hAnsi="Garamond"/>
    </w:rPr>
  </w:style>
  <w:style w:type="paragraph" w:customStyle="1" w:styleId="Byline">
    <w:name w:val="Byline"/>
    <w:rsid w:val="00176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1D5"/>
    <w:pPr>
      <w:tabs>
        <w:tab w:val="clear" w:pos="3600"/>
        <w:tab w:val="clear" w:pos="3958"/>
      </w:tabs>
      <w:jc w:val="right"/>
    </w:pPr>
  </w:style>
  <w:style w:type="paragraph" w:styleId="Caption">
    <w:name w:val="caption"/>
    <w:basedOn w:val="BodyText"/>
    <w:next w:val="Normal"/>
    <w:qFormat/>
    <w:rsid w:val="001761D5"/>
    <w:pPr>
      <w:framePr w:w="2268" w:hSpace="181" w:vSpace="181" w:wrap="around" w:vAnchor="text" w:hAnchor="page" w:x="1135" w:y="285" w:anchorLock="1"/>
    </w:pPr>
    <w:rPr>
      <w:i/>
    </w:rPr>
  </w:style>
  <w:style w:type="paragraph" w:customStyle="1" w:styleId="MiniTOCTitle">
    <w:name w:val="MiniTOCTitle"/>
    <w:basedOn w:val="Heading4"/>
    <w:rsid w:val="001761D5"/>
    <w:pPr>
      <w:spacing w:before="240"/>
      <w:outlineLvl w:val="9"/>
    </w:pPr>
    <w:rPr>
      <w:noProof/>
      <w:sz w:val="24"/>
    </w:rPr>
  </w:style>
  <w:style w:type="paragraph" w:customStyle="1" w:styleId="MiniTOCItem">
    <w:name w:val="MiniTOCItem"/>
    <w:basedOn w:val="ListBullet"/>
    <w:rsid w:val="001761D5"/>
    <w:pPr>
      <w:numPr>
        <w:numId w:val="0"/>
      </w:numPr>
      <w:tabs>
        <w:tab w:val="right" w:leader="dot" w:pos="6521"/>
      </w:tabs>
      <w:spacing w:before="0" w:after="0"/>
    </w:pPr>
  </w:style>
  <w:style w:type="paragraph" w:customStyle="1" w:styleId="TOFTitle">
    <w:name w:val="TOFTitle"/>
    <w:basedOn w:val="TOCTitle"/>
    <w:rsid w:val="001761D5"/>
  </w:style>
  <w:style w:type="paragraph" w:styleId="TableofFigures">
    <w:name w:val="table of figures"/>
    <w:basedOn w:val="Normal"/>
    <w:next w:val="Normal"/>
    <w:semiHidden/>
    <w:rsid w:val="001761D5"/>
    <w:pPr>
      <w:tabs>
        <w:tab w:val="right" w:leader="dot" w:pos="9072"/>
      </w:tabs>
      <w:ind w:left="970" w:hanging="403"/>
    </w:pPr>
    <w:rPr>
      <w:rFonts w:ascii="Times New Roman" w:hAnsi="Times New Roman"/>
      <w:b/>
    </w:rPr>
  </w:style>
  <w:style w:type="paragraph" w:styleId="ListNumber">
    <w:name w:val="List Number"/>
    <w:basedOn w:val="List"/>
    <w:rsid w:val="001761D5"/>
    <w:pPr>
      <w:numPr>
        <w:numId w:val="16"/>
      </w:numPr>
      <w:tabs>
        <w:tab w:val="clear" w:pos="340"/>
      </w:tabs>
    </w:pPr>
  </w:style>
  <w:style w:type="character" w:customStyle="1" w:styleId="WingdingSymbols">
    <w:name w:val="Wingding Symbols"/>
    <w:rsid w:val="001761D5"/>
    <w:rPr>
      <w:rFonts w:ascii="Wingdings" w:hAnsi="Wingdings"/>
    </w:rPr>
  </w:style>
  <w:style w:type="paragraph" w:customStyle="1" w:styleId="TableHeading">
    <w:name w:val="Table Heading"/>
    <w:basedOn w:val="HeadingBase"/>
    <w:rsid w:val="001761D5"/>
    <w:pPr>
      <w:keepLines/>
      <w:pBdr>
        <w:bottom w:val="single" w:sz="6" w:space="1" w:color="918585"/>
      </w:pBdr>
      <w:spacing w:before="240"/>
    </w:pPr>
  </w:style>
  <w:style w:type="character" w:customStyle="1" w:styleId="HotSpot">
    <w:name w:val="HotSpot"/>
    <w:rsid w:val="001761D5"/>
    <w:rPr>
      <w:color w:val="0033CC"/>
      <w:u w:val="none"/>
    </w:rPr>
  </w:style>
  <w:style w:type="paragraph" w:customStyle="1" w:styleId="BodyTextRight">
    <w:name w:val="Body Text Right"/>
    <w:basedOn w:val="BodyText"/>
    <w:rsid w:val="001761D5"/>
    <w:pPr>
      <w:spacing w:before="0" w:after="0"/>
      <w:jc w:val="right"/>
    </w:pPr>
  </w:style>
  <w:style w:type="paragraph" w:styleId="Index3">
    <w:name w:val="index 3"/>
    <w:basedOn w:val="ListNumber2"/>
    <w:next w:val="Normal"/>
    <w:semiHidden/>
    <w:rsid w:val="001761D5"/>
    <w:pPr>
      <w:numPr>
        <w:numId w:val="0"/>
      </w:numPr>
      <w:tabs>
        <w:tab w:val="right" w:leader="dot" w:pos="4176"/>
      </w:tabs>
    </w:pPr>
  </w:style>
  <w:style w:type="paragraph" w:styleId="ListNumber2">
    <w:name w:val="List Number 2"/>
    <w:basedOn w:val="List2"/>
    <w:rsid w:val="001761D5"/>
    <w:pPr>
      <w:numPr>
        <w:numId w:val="11"/>
      </w:numPr>
      <w:tabs>
        <w:tab w:val="clear" w:pos="1060"/>
      </w:tabs>
    </w:pPr>
  </w:style>
  <w:style w:type="paragraph" w:customStyle="1" w:styleId="MarginNote">
    <w:name w:val="Margin Note"/>
    <w:basedOn w:val="BodyText"/>
    <w:rsid w:val="00176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1D5"/>
    <w:rPr>
      <w:sz w:val="32"/>
    </w:rPr>
  </w:style>
  <w:style w:type="paragraph" w:customStyle="1" w:styleId="HeadingProcedure">
    <w:name w:val="Heading Procedure"/>
    <w:basedOn w:val="HeadingBase"/>
    <w:next w:val="Normal"/>
    <w:rsid w:val="001761D5"/>
    <w:pPr>
      <w:tabs>
        <w:tab w:val="left" w:pos="0"/>
      </w:tabs>
      <w:spacing w:before="120" w:after="60"/>
    </w:pPr>
    <w:rPr>
      <w:i/>
      <w:color w:val="918585"/>
      <w:sz w:val="22"/>
    </w:rPr>
  </w:style>
  <w:style w:type="paragraph" w:customStyle="1" w:styleId="TableBodyText">
    <w:name w:val="Table Body Text"/>
    <w:basedOn w:val="BodyText"/>
    <w:rsid w:val="001761D5"/>
    <w:pPr>
      <w:spacing w:before="60" w:after="60"/>
    </w:pPr>
  </w:style>
  <w:style w:type="paragraph" w:customStyle="1" w:styleId="ListNote">
    <w:name w:val="List Note"/>
    <w:basedOn w:val="List"/>
    <w:rsid w:val="001761D5"/>
    <w:pPr>
      <w:pBdr>
        <w:top w:val="single" w:sz="6" w:space="2" w:color="918585"/>
        <w:bottom w:val="single" w:sz="6" w:space="2" w:color="918585"/>
      </w:pBdr>
      <w:tabs>
        <w:tab w:val="left" w:pos="1021"/>
      </w:tabs>
      <w:ind w:firstLine="0"/>
    </w:pPr>
  </w:style>
  <w:style w:type="paragraph" w:customStyle="1" w:styleId="Warning">
    <w:name w:val="Warning"/>
    <w:basedOn w:val="BodyText"/>
    <w:rsid w:val="001761D5"/>
    <w:pPr>
      <w:shd w:val="clear" w:color="auto" w:fill="D9D9D9"/>
      <w:tabs>
        <w:tab w:val="left" w:pos="992"/>
      </w:tabs>
      <w:ind w:left="119" w:right="119"/>
    </w:pPr>
    <w:rPr>
      <w:sz w:val="20"/>
    </w:rPr>
  </w:style>
  <w:style w:type="paragraph" w:customStyle="1" w:styleId="MarginIcons">
    <w:name w:val="Margin Icons"/>
    <w:basedOn w:val="BodyText"/>
    <w:rsid w:val="00176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1D5"/>
    <w:rPr>
      <w:rFonts w:ascii="Courier New" w:hAnsi="Courier New"/>
    </w:rPr>
  </w:style>
  <w:style w:type="paragraph" w:customStyle="1" w:styleId="NoteBullet">
    <w:name w:val="Note Bullet"/>
    <w:basedOn w:val="Note"/>
    <w:rsid w:val="001761D5"/>
    <w:pPr>
      <w:tabs>
        <w:tab w:val="clear" w:pos="680"/>
      </w:tabs>
      <w:spacing w:before="60" w:after="60"/>
    </w:pPr>
  </w:style>
  <w:style w:type="paragraph" w:customStyle="1" w:styleId="SubHeading2">
    <w:name w:val="SubHeading2"/>
    <w:basedOn w:val="HeadingBase"/>
    <w:rsid w:val="001761D5"/>
    <w:pPr>
      <w:spacing w:before="240" w:after="60"/>
    </w:pPr>
    <w:rPr>
      <w:sz w:val="20"/>
    </w:rPr>
  </w:style>
  <w:style w:type="paragraph" w:customStyle="1" w:styleId="SubHeading1">
    <w:name w:val="SubHeading1"/>
    <w:basedOn w:val="HeadingBase"/>
    <w:rsid w:val="001761D5"/>
    <w:pPr>
      <w:spacing w:before="240" w:after="60"/>
    </w:pPr>
    <w:rPr>
      <w:color w:val="918585"/>
      <w:sz w:val="22"/>
    </w:rPr>
  </w:style>
  <w:style w:type="paragraph" w:customStyle="1" w:styleId="SideHeading">
    <w:name w:val="Side Heading"/>
    <w:basedOn w:val="HeadingBase"/>
    <w:rsid w:val="00176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1D5"/>
    <w:pPr>
      <w:numPr>
        <w:numId w:val="12"/>
      </w:numPr>
    </w:pPr>
  </w:style>
  <w:style w:type="paragraph" w:styleId="PlainText">
    <w:name w:val="Plain Text"/>
    <w:basedOn w:val="Normal"/>
    <w:link w:val="PlainTextChar"/>
    <w:rsid w:val="001761D5"/>
    <w:rPr>
      <w:sz w:val="20"/>
    </w:rPr>
  </w:style>
  <w:style w:type="character" w:customStyle="1" w:styleId="PlainTextChar">
    <w:name w:val="Plain Text Char"/>
    <w:basedOn w:val="DefaultParagraphFont"/>
    <w:link w:val="PlainText"/>
    <w:rsid w:val="001761D5"/>
    <w:rPr>
      <w:rFonts w:ascii="Courier New" w:eastAsia="Times New Roman" w:hAnsi="Courier New" w:cs="Times New Roman"/>
      <w:sz w:val="20"/>
      <w:szCs w:val="20"/>
      <w:lang w:eastAsia="en-US"/>
    </w:rPr>
  </w:style>
  <w:style w:type="character" w:customStyle="1" w:styleId="MenuOption">
    <w:name w:val="Menu Option"/>
    <w:basedOn w:val="DefaultParagraphFont"/>
    <w:rsid w:val="001761D5"/>
    <w:rPr>
      <w:b/>
      <w:smallCaps/>
    </w:rPr>
  </w:style>
  <w:style w:type="paragraph" w:customStyle="1" w:styleId="TableListNumber">
    <w:name w:val="Table List Number"/>
    <w:basedOn w:val="ListNumber"/>
    <w:rsid w:val="001761D5"/>
    <w:pPr>
      <w:numPr>
        <w:numId w:val="0"/>
      </w:numPr>
    </w:pPr>
  </w:style>
  <w:style w:type="paragraph" w:styleId="TOC4">
    <w:name w:val="toc 4"/>
    <w:basedOn w:val="TOCBase"/>
    <w:next w:val="Normal"/>
    <w:semiHidden/>
    <w:rsid w:val="001761D5"/>
    <w:pPr>
      <w:tabs>
        <w:tab w:val="right" w:leader="dot" w:pos="9071"/>
      </w:tabs>
      <w:ind w:left="1701"/>
    </w:pPr>
  </w:style>
  <w:style w:type="paragraph" w:customStyle="1" w:styleId="ListAlpha">
    <w:name w:val="List Alpha"/>
    <w:basedOn w:val="List"/>
    <w:rsid w:val="001761D5"/>
    <w:pPr>
      <w:numPr>
        <w:numId w:val="10"/>
      </w:numPr>
    </w:pPr>
  </w:style>
  <w:style w:type="paragraph" w:customStyle="1" w:styleId="ListAlpha2">
    <w:name w:val="List Alpha 2"/>
    <w:basedOn w:val="List2"/>
    <w:rsid w:val="001761D5"/>
    <w:pPr>
      <w:numPr>
        <w:numId w:val="9"/>
      </w:numPr>
    </w:pPr>
  </w:style>
  <w:style w:type="paragraph" w:styleId="List2">
    <w:name w:val="List 2"/>
    <w:basedOn w:val="BodyText"/>
    <w:rsid w:val="001761D5"/>
    <w:pPr>
      <w:tabs>
        <w:tab w:val="left" w:pos="680"/>
      </w:tabs>
      <w:spacing w:before="60" w:after="60"/>
      <w:ind w:left="680" w:hanging="340"/>
    </w:pPr>
  </w:style>
  <w:style w:type="paragraph" w:styleId="List3">
    <w:name w:val="List 3"/>
    <w:basedOn w:val="BodyText"/>
    <w:rsid w:val="001761D5"/>
    <w:pPr>
      <w:tabs>
        <w:tab w:val="left" w:pos="1021"/>
      </w:tabs>
      <w:spacing w:before="60" w:after="60"/>
      <w:ind w:left="1020" w:hanging="340"/>
    </w:pPr>
  </w:style>
  <w:style w:type="paragraph" w:styleId="List4">
    <w:name w:val="List 4"/>
    <w:basedOn w:val="BodyText"/>
    <w:rsid w:val="001761D5"/>
    <w:pPr>
      <w:tabs>
        <w:tab w:val="left" w:pos="1361"/>
      </w:tabs>
      <w:spacing w:before="60" w:after="60"/>
      <w:ind w:left="1361" w:hanging="340"/>
    </w:pPr>
  </w:style>
  <w:style w:type="paragraph" w:styleId="List5">
    <w:name w:val="List 5"/>
    <w:basedOn w:val="BodyText"/>
    <w:rsid w:val="001761D5"/>
    <w:pPr>
      <w:tabs>
        <w:tab w:val="left" w:pos="1701"/>
      </w:tabs>
      <w:spacing w:before="60" w:after="60"/>
      <w:ind w:left="1701" w:hanging="340"/>
    </w:pPr>
  </w:style>
  <w:style w:type="paragraph" w:styleId="ListBullet4">
    <w:name w:val="List Bullet 4"/>
    <w:basedOn w:val="List4"/>
    <w:rsid w:val="001761D5"/>
    <w:pPr>
      <w:numPr>
        <w:numId w:val="4"/>
      </w:numPr>
      <w:tabs>
        <w:tab w:val="clear" w:pos="1361"/>
      </w:tabs>
    </w:pPr>
  </w:style>
  <w:style w:type="paragraph" w:styleId="ListBullet5">
    <w:name w:val="List Bullet 5"/>
    <w:basedOn w:val="List5"/>
    <w:rsid w:val="001761D5"/>
    <w:pPr>
      <w:numPr>
        <w:numId w:val="5"/>
      </w:numPr>
    </w:pPr>
  </w:style>
  <w:style w:type="paragraph" w:styleId="ListContinue2">
    <w:name w:val="List Continue 2"/>
    <w:basedOn w:val="List2"/>
    <w:rsid w:val="001761D5"/>
    <w:pPr>
      <w:ind w:firstLine="0"/>
    </w:pPr>
  </w:style>
  <w:style w:type="paragraph" w:styleId="ListContinue3">
    <w:name w:val="List Continue 3"/>
    <w:basedOn w:val="List3"/>
    <w:rsid w:val="001761D5"/>
    <w:pPr>
      <w:ind w:left="1021" w:firstLine="0"/>
    </w:pPr>
  </w:style>
  <w:style w:type="paragraph" w:styleId="ListContinue4">
    <w:name w:val="List Continue 4"/>
    <w:basedOn w:val="List4"/>
    <w:rsid w:val="001761D5"/>
    <w:pPr>
      <w:ind w:firstLine="0"/>
    </w:pPr>
  </w:style>
  <w:style w:type="paragraph" w:styleId="ListContinue5">
    <w:name w:val="List Continue 5"/>
    <w:basedOn w:val="List5"/>
    <w:rsid w:val="001761D5"/>
    <w:pPr>
      <w:ind w:firstLine="0"/>
    </w:pPr>
  </w:style>
  <w:style w:type="paragraph" w:styleId="ListNumber3">
    <w:name w:val="List Number 3"/>
    <w:basedOn w:val="List3"/>
    <w:rsid w:val="001761D5"/>
    <w:pPr>
      <w:numPr>
        <w:numId w:val="6"/>
      </w:numPr>
    </w:pPr>
  </w:style>
  <w:style w:type="paragraph" w:styleId="ListNumber4">
    <w:name w:val="List Number 4"/>
    <w:basedOn w:val="List4"/>
    <w:rsid w:val="001761D5"/>
    <w:pPr>
      <w:numPr>
        <w:numId w:val="7"/>
      </w:numPr>
    </w:pPr>
  </w:style>
  <w:style w:type="paragraph" w:styleId="ListNumber5">
    <w:name w:val="List Number 5"/>
    <w:basedOn w:val="List5"/>
    <w:rsid w:val="001761D5"/>
    <w:pPr>
      <w:numPr>
        <w:numId w:val="8"/>
      </w:numPr>
    </w:pPr>
  </w:style>
  <w:style w:type="paragraph" w:styleId="BlockText">
    <w:name w:val="Block Text"/>
    <w:basedOn w:val="Normal"/>
    <w:rsid w:val="001761D5"/>
    <w:pPr>
      <w:spacing w:after="120"/>
      <w:ind w:left="1440" w:right="1440"/>
    </w:pPr>
  </w:style>
  <w:style w:type="character" w:customStyle="1" w:styleId="Subscript">
    <w:name w:val="Subscript"/>
    <w:basedOn w:val="DefaultParagraphFont"/>
    <w:rsid w:val="001761D5"/>
    <w:rPr>
      <w:sz w:val="16"/>
      <w:vertAlign w:val="subscript"/>
    </w:rPr>
  </w:style>
  <w:style w:type="character" w:customStyle="1" w:styleId="Superscript">
    <w:name w:val="Superscript"/>
    <w:basedOn w:val="DefaultParagraphFont"/>
    <w:rsid w:val="001761D5"/>
    <w:rPr>
      <w:sz w:val="16"/>
      <w:vertAlign w:val="superscript"/>
    </w:rPr>
  </w:style>
  <w:style w:type="character" w:customStyle="1" w:styleId="Symbols">
    <w:name w:val="Symbols"/>
    <w:basedOn w:val="DefaultParagraphFont"/>
    <w:rsid w:val="001761D5"/>
    <w:rPr>
      <w:rFonts w:ascii="Symbol" w:hAnsi="Symbol"/>
    </w:rPr>
  </w:style>
  <w:style w:type="character" w:customStyle="1" w:styleId="MenuOptions">
    <w:name w:val="Menu Options"/>
    <w:basedOn w:val="DefaultParagraphFont"/>
    <w:rsid w:val="001761D5"/>
    <w:rPr>
      <w:rFonts w:ascii="Arial Narrow" w:hAnsi="Arial Narrow"/>
      <w:smallCaps/>
    </w:rPr>
  </w:style>
  <w:style w:type="character" w:customStyle="1" w:styleId="Buttons">
    <w:name w:val="Buttons"/>
    <w:basedOn w:val="DefaultParagraphFont"/>
    <w:rsid w:val="001761D5"/>
    <w:rPr>
      <w:b/>
    </w:rPr>
  </w:style>
  <w:style w:type="character" w:customStyle="1" w:styleId="Underlined">
    <w:name w:val="Underlined"/>
    <w:basedOn w:val="DefaultParagraphFont"/>
    <w:rsid w:val="001761D5"/>
    <w:rPr>
      <w:u w:val="single"/>
    </w:rPr>
  </w:style>
  <w:style w:type="paragraph" w:customStyle="1" w:styleId="TableBodyTextRight">
    <w:name w:val="Table Body Text Right"/>
    <w:basedOn w:val="TableBodyText"/>
    <w:rsid w:val="001761D5"/>
    <w:pPr>
      <w:widowControl w:val="0"/>
      <w:autoSpaceDE w:val="0"/>
      <w:autoSpaceDN w:val="0"/>
      <w:adjustRightInd w:val="0"/>
      <w:jc w:val="right"/>
    </w:pPr>
    <w:rPr>
      <w:rFonts w:cs="Arial"/>
      <w:szCs w:val="18"/>
    </w:rPr>
  </w:style>
  <w:style w:type="paragraph" w:customStyle="1" w:styleId="CopyrightText">
    <w:name w:val="Copyright Text"/>
    <w:basedOn w:val="BodyText"/>
    <w:rsid w:val="001761D5"/>
    <w:rPr>
      <w:sz w:val="18"/>
    </w:rPr>
  </w:style>
  <w:style w:type="paragraph" w:customStyle="1" w:styleId="BodySmallRight">
    <w:name w:val="Body Small Right"/>
    <w:basedOn w:val="BodyTextRight"/>
    <w:rsid w:val="001761D5"/>
    <w:rPr>
      <w:sz w:val="18"/>
      <w:szCs w:val="18"/>
    </w:rPr>
  </w:style>
  <w:style w:type="paragraph" w:customStyle="1" w:styleId="MarginEdition">
    <w:name w:val="Margin Edition"/>
    <w:basedOn w:val="MarginNote"/>
    <w:rsid w:val="001761D5"/>
    <w:pPr>
      <w:spacing w:before="0" w:after="0"/>
    </w:pPr>
    <w:rPr>
      <w:rFonts w:ascii="Times New Roman" w:hAnsi="Times New Roman"/>
      <w:color w:val="999999"/>
    </w:rPr>
  </w:style>
  <w:style w:type="paragraph" w:customStyle="1" w:styleId="Spacer">
    <w:name w:val="Spacer"/>
    <w:basedOn w:val="Normal"/>
    <w:rsid w:val="001761D5"/>
    <w:rPr>
      <w:sz w:val="2"/>
      <w:szCs w:val="2"/>
    </w:rPr>
  </w:style>
  <w:style w:type="character" w:customStyle="1" w:styleId="Small">
    <w:name w:val="Small"/>
    <w:basedOn w:val="DefaultParagraphFont"/>
    <w:rsid w:val="001761D5"/>
    <w:rPr>
      <w:sz w:val="16"/>
    </w:rPr>
  </w:style>
  <w:style w:type="paragraph" w:customStyle="1" w:styleId="WideTable">
    <w:name w:val="Wide Table"/>
    <w:basedOn w:val="Normal"/>
    <w:rsid w:val="001761D5"/>
    <w:pPr>
      <w:ind w:left="-1418"/>
    </w:pPr>
    <w:rPr>
      <w:sz w:val="2"/>
      <w:szCs w:val="2"/>
    </w:rPr>
  </w:style>
  <w:style w:type="character" w:styleId="PageNumber">
    <w:name w:val="page number"/>
    <w:basedOn w:val="DefaultParagraphFont"/>
    <w:rsid w:val="001761D5"/>
  </w:style>
  <w:style w:type="paragraph" w:styleId="Quote">
    <w:name w:val="Quote"/>
    <w:basedOn w:val="Heading1"/>
    <w:link w:val="QuoteChar"/>
    <w:qFormat/>
    <w:rsid w:val="001761D5"/>
    <w:rPr>
      <w:b w:val="0"/>
      <w:sz w:val="72"/>
      <w:szCs w:val="72"/>
      <w:lang w:val="en-NZ"/>
    </w:rPr>
  </w:style>
  <w:style w:type="character" w:customStyle="1" w:styleId="QuoteChar">
    <w:name w:val="Quote Char"/>
    <w:basedOn w:val="DefaultParagraphFont"/>
    <w:link w:val="Quote"/>
    <w:rsid w:val="00176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1D5"/>
    <w:pPr>
      <w:pageBreakBefore/>
    </w:pPr>
  </w:style>
  <w:style w:type="paragraph" w:customStyle="1" w:styleId="Border">
    <w:name w:val="Border"/>
    <w:basedOn w:val="Normal"/>
    <w:qFormat/>
    <w:rsid w:val="00176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1D5"/>
    <w:rPr>
      <w:b/>
      <w:bCs/>
      <w:i/>
      <w:iCs/>
      <w:color w:val="auto"/>
    </w:rPr>
  </w:style>
  <w:style w:type="paragraph" w:styleId="IntenseQuote">
    <w:name w:val="Intense Quote"/>
    <w:basedOn w:val="Normal"/>
    <w:next w:val="Normal"/>
    <w:link w:val="IntenseQuoteChar"/>
    <w:uiPriority w:val="30"/>
    <w:qFormat/>
    <w:rsid w:val="00176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1D5"/>
    <w:rPr>
      <w:smallCaps/>
      <w:color w:val="auto"/>
      <w:u w:val="single"/>
    </w:rPr>
  </w:style>
  <w:style w:type="character" w:styleId="IntenseReference">
    <w:name w:val="Intense Reference"/>
    <w:basedOn w:val="DefaultParagraphFont"/>
    <w:uiPriority w:val="32"/>
    <w:qFormat/>
    <w:rsid w:val="001761D5"/>
    <w:rPr>
      <w:b/>
      <w:bCs/>
      <w:smallCaps/>
      <w:color w:val="auto"/>
      <w:spacing w:val="5"/>
      <w:u w:val="single"/>
    </w:rPr>
  </w:style>
  <w:style w:type="paragraph" w:customStyle="1" w:styleId="2ColumnHeading">
    <w:name w:val="2Column Heading"/>
    <w:basedOn w:val="BodyText"/>
    <w:qFormat/>
    <w:rsid w:val="001761D5"/>
    <w:pPr>
      <w:spacing w:after="60"/>
      <w:ind w:left="-2268"/>
    </w:pPr>
    <w:rPr>
      <w:b/>
    </w:rPr>
  </w:style>
  <w:style w:type="paragraph" w:customStyle="1" w:styleId="Heading1TOC">
    <w:name w:val="Heading1 TOC"/>
    <w:basedOn w:val="Normal"/>
    <w:qFormat/>
    <w:rsid w:val="001761D5"/>
    <w:pPr>
      <w:spacing w:before="240" w:after="120"/>
    </w:pPr>
    <w:rPr>
      <w:rFonts w:ascii="Times New Roman" w:hAnsi="Times New Roman"/>
      <w:b/>
      <w:sz w:val="32"/>
    </w:rPr>
  </w:style>
  <w:style w:type="paragraph" w:customStyle="1" w:styleId="Heading2TOC">
    <w:name w:val="Heading2 TOC"/>
    <w:basedOn w:val="Normal"/>
    <w:qFormat/>
    <w:rsid w:val="001761D5"/>
    <w:pPr>
      <w:spacing w:before="240" w:after="60"/>
    </w:pPr>
    <w:rPr>
      <w:rFonts w:ascii="Times New Roman" w:hAnsi="Times New Roman"/>
      <w:b/>
      <w:sz w:val="28"/>
    </w:rPr>
  </w:style>
  <w:style w:type="character" w:customStyle="1" w:styleId="Underline">
    <w:name w:val="Underline"/>
    <w:basedOn w:val="DefaultParagraphFont"/>
    <w:qFormat/>
    <w:rsid w:val="001761D5"/>
    <w:rPr>
      <w:u w:val="single"/>
    </w:rPr>
  </w:style>
  <w:style w:type="character" w:customStyle="1" w:styleId="BoldandItalics">
    <w:name w:val="Bold and Italics"/>
    <w:qFormat/>
    <w:rsid w:val="001761D5"/>
    <w:rPr>
      <w:b/>
      <w:i/>
      <w:u w:val="none"/>
    </w:rPr>
  </w:style>
  <w:style w:type="paragraph" w:styleId="BalloonText">
    <w:name w:val="Balloon Text"/>
    <w:basedOn w:val="Normal"/>
    <w:link w:val="BalloonTextChar"/>
    <w:rsid w:val="001761D5"/>
    <w:rPr>
      <w:rFonts w:ascii="Tahoma" w:hAnsi="Tahoma" w:cs="Tahoma"/>
      <w:sz w:val="16"/>
      <w:szCs w:val="16"/>
    </w:rPr>
  </w:style>
  <w:style w:type="character" w:customStyle="1" w:styleId="BalloonTextChar">
    <w:name w:val="Balloon Text Char"/>
    <w:basedOn w:val="DefaultParagraphFont"/>
    <w:link w:val="BalloonText"/>
    <w:rsid w:val="00176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1D5"/>
    <w:rPr>
      <w:b/>
      <w:color w:val="660033"/>
      <w:spacing w:val="0"/>
    </w:rPr>
  </w:style>
  <w:style w:type="paragraph" w:customStyle="1" w:styleId="Nameditemlist">
    <w:name w:val="Named item list"/>
    <w:basedOn w:val="BodyText"/>
    <w:qFormat/>
    <w:rsid w:val="001761D5"/>
    <w:pPr>
      <w:tabs>
        <w:tab w:val="left" w:pos="2835"/>
      </w:tabs>
      <w:ind w:left="2835" w:hanging="2835"/>
    </w:pPr>
  </w:style>
  <w:style w:type="paragraph" w:customStyle="1" w:styleId="BodyTextnopadding">
    <w:name w:val="Body Text no padding"/>
    <w:basedOn w:val="BodyText"/>
    <w:qFormat/>
    <w:rsid w:val="001761D5"/>
    <w:pPr>
      <w:spacing w:before="0" w:after="0"/>
    </w:pPr>
  </w:style>
  <w:style w:type="paragraph" w:customStyle="1" w:styleId="BodyTextBold">
    <w:name w:val="Body Text Bold"/>
    <w:basedOn w:val="BodyText"/>
    <w:qFormat/>
    <w:rsid w:val="001761D5"/>
    <w:rPr>
      <w:b/>
    </w:rPr>
  </w:style>
  <w:style w:type="character" w:styleId="Hyperlink">
    <w:name w:val="Hyperlink"/>
    <w:basedOn w:val="DefaultParagraphFont"/>
    <w:uiPriority w:val="99"/>
    <w:unhideWhenUsed/>
    <w:rsid w:val="00C80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6466</Characters>
  <Application>Microsoft Office Word</Application>
  <DocSecurity>0</DocSecurity>
  <Lines>215</Lines>
  <Paragraphs>148</Paragraphs>
  <ScaleCrop>false</ScaleCrop>
  <Company>Author-it Software Corporation Ltd.</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HLTANA002 Monitor clients during anaesthesia</dc:title>
  <dc:subject>Approved</dc:subject>
  <dc:creator>HumanAbility</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