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755" w:rsidP="00744755">
      <w:pPr>
        <w:pStyle w:val="Title"/>
      </w:pPr>
      <w:r>
        <w:fldChar w:fldCharType="begin"/>
      </w:r>
      <w:r>
        <w:instrText xml:space="preserve"> TITLE   \* MERGEFORMAT </w:instrText>
      </w:r>
      <w:r>
        <w:fldChar w:fldCharType="separate"/>
      </w:r>
      <w:r>
        <w:t>HLTANA001 Prepare clients for anaesthesia</w:t>
      </w:r>
      <w:r>
        <w:fldChar w:fldCharType="end"/>
      </w:r>
    </w:p>
    <w:p w:rsidR="00744755" w:rsidP="00744755">
      <w:pPr>
        <w:pStyle w:val="Version"/>
        <w:sectPr w:rsidSect="00B96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6981" w:rsidP="00B96981">
      <w:pPr>
        <w:pStyle w:val="SuperHeading"/>
      </w:pPr>
      <w:r w:rsidRPr="00B96981">
        <w:t>HLTANA001 Prepare clients for anaesthesia</w:t>
      </w:r>
    </w:p>
    <w:p w:rsidR="00000000" w:rsidRPr="00B96981" w:rsidP="00B96981">
      <w:pPr>
        <w:pStyle w:val="Heading1"/>
      </w:pPr>
      <w:bookmarkStart w:id="1" w:name="O_873342"/>
      <w:bookmarkEnd w:id="1"/>
      <w:r w:rsidRPr="00B96981">
        <w:t>Modification History</w:t>
      </w:r>
    </w:p>
    <w:tbl>
      <w:tblPr>
        <w:tblW w:w="0" w:type="auto"/>
        <w:tblLayout w:type="fixed"/>
        <w:tblCellMar>
          <w:left w:w="62" w:type="dxa"/>
          <w:right w:w="62" w:type="dxa"/>
        </w:tblCellMar>
        <w:tblLook w:val="0000"/>
      </w:tblPr>
      <w:tblGrid>
        <w:gridCol w:w="2790"/>
        <w:gridCol w:w="6344"/>
      </w:tblGrid>
      <w:tr w:rsidTr="00B969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Comments</w:t>
            </w:r>
          </w:p>
        </w:tc>
      </w:tr>
      <w:tr w:rsidTr="00B9698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This version was released in </w:t>
            </w:r>
            <w:r w:rsidRPr="00B96981">
              <w:rPr>
                <w:rStyle w:val="Emphasis"/>
              </w:rPr>
              <w:t>HLT Health Training Package release 3.0.</w:t>
            </w:r>
          </w:p>
          <w:p w:rsidR="00000000" w:rsidP="00B96981">
            <w:pPr>
              <w:pStyle w:val="BodyText"/>
              <w:rPr>
                <w:lang w:val="en-NZ"/>
              </w:rPr>
            </w:pPr>
            <w:r w:rsidRPr="00B96981">
              <w:t>Update to mapping and metadata. Equivalent competency outcome.</w:t>
            </w:r>
          </w:p>
        </w:tc>
      </w:tr>
      <w:tr w:rsidTr="00B9698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This version was released in </w:t>
            </w:r>
            <w:r w:rsidRPr="00B96981">
              <w:rPr>
                <w:rStyle w:val="Emphasis"/>
              </w:rPr>
              <w:t>HLT Health Training Package relea</w:t>
            </w:r>
            <w:r w:rsidRPr="00B96981">
              <w:rPr>
                <w:rStyle w:val="Emphasis"/>
              </w:rPr>
              <w:t>se 2.0</w:t>
            </w:r>
            <w:r w:rsidRPr="00B96981">
              <w:t xml:space="preserve"> and meets the requirements of the 2012 Standards for Training Packages.</w:t>
            </w:r>
          </w:p>
          <w:p w:rsidR="00000000" w:rsidRPr="00B96981" w:rsidP="00B96981">
            <w:pPr>
              <w:pStyle w:val="BodyText"/>
            </w:pPr>
            <w:r w:rsidRPr="00B96981">
              <w:t>Supersedes HLTAN402D. Significant changes to the elements and performance criteria. New evidence requirements for assessment, including volume and frequency requirements. Signif</w:t>
            </w:r>
            <w:r w:rsidRPr="00B96981">
              <w:t>icant change to knowledge evidence.</w:t>
            </w:r>
          </w:p>
        </w:tc>
      </w:tr>
    </w:tbl>
    <w:p w:rsidR="00744755" w:rsidP="00B96981">
      <w:pPr>
        <w:pStyle w:val="BodyText"/>
      </w:pPr>
    </w:p>
    <w:p w:rsidR="00744755" w:rsidP="00B96981">
      <w:pPr>
        <w:pStyle w:val="BodyText"/>
      </w:pPr>
    </w:p>
    <w:p w:rsidR="00000000" w:rsidRPr="00B96981" w:rsidP="00B96981">
      <w:pPr>
        <w:pStyle w:val="Heading1"/>
      </w:pPr>
      <w:bookmarkStart w:id="2" w:name="O_873341"/>
      <w:bookmarkEnd w:id="2"/>
      <w:r w:rsidRPr="00B96981">
        <w:t>Application</w:t>
      </w:r>
    </w:p>
    <w:p w:rsidR="00000000" w:rsidRPr="00B96981" w:rsidP="00744755">
      <w:pPr>
        <w:pStyle w:val="BodyText"/>
      </w:pPr>
      <w:r w:rsidRPr="00B96981">
        <w:t xml:space="preserve">This unit describes the skills and knowledge required to complete specific client related preparation tasks. It includes client preparation and transfer, the attachment </w:t>
      </w:r>
      <w:r w:rsidRPr="00B96981">
        <w:t>and detachment of equipment and positioning the client for different procedures.</w:t>
      </w:r>
    </w:p>
    <w:p w:rsidR="00000000" w:rsidRPr="00B96981" w:rsidP="00744755">
      <w:pPr>
        <w:pStyle w:val="BodyText"/>
      </w:pPr>
      <w:r w:rsidRPr="00B96981">
        <w:t>The unit applies to anaesthetic technicians working under the direction of, and in consultation with, an anaesthetist in any hospital or day surgery setting.</w:t>
      </w:r>
    </w:p>
    <w:p w:rsidR="00744755" w:rsidRPr="00744755" w:rsidP="00744755">
      <w:pPr>
        <w:pStyle w:val="BodyText"/>
        <w:rPr>
          <w:i/>
        </w:rPr>
      </w:pPr>
      <w:r w:rsidRPr="00744755">
        <w:rPr>
          <w:rStyle w:val="Emphasis"/>
        </w:rPr>
        <w:t>The skills in t</w:t>
      </w:r>
      <w:r w:rsidRPr="00744755">
        <w:rPr>
          <w:rStyle w:val="Emphasis"/>
        </w:rPr>
        <w:t>his unit must be applied in accordance with Commonwealth and State/Territory legislation, Australian/New Zealand standards and industry codes of practice.</w:t>
      </w:r>
    </w:p>
    <w:p w:rsidR="00000000" w:rsidRPr="00B96981" w:rsidP="00B96981">
      <w:pPr>
        <w:pStyle w:val="Heading1"/>
      </w:pPr>
      <w:bookmarkStart w:id="3" w:name="O_873340"/>
      <w:bookmarkEnd w:id="3"/>
      <w:r w:rsidRPr="00B96981">
        <w:t>Elements and Performance Criteria</w:t>
      </w:r>
    </w:p>
    <w:tbl>
      <w:tblPr>
        <w:tblW w:w="0" w:type="auto"/>
        <w:tblLayout w:type="fixed"/>
        <w:tblCellMar>
          <w:left w:w="62" w:type="dxa"/>
          <w:right w:w="62" w:type="dxa"/>
        </w:tblCellMar>
        <w:tblLook w:val="0000"/>
      </w:tblPr>
      <w:tblGrid>
        <w:gridCol w:w="3261"/>
        <w:gridCol w:w="5702"/>
      </w:tblGrid>
      <w:tr w:rsidTr="00B969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ELEMENT</w:t>
            </w: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PERFORMANCE CRITERIA</w:t>
            </w:r>
          </w:p>
        </w:tc>
      </w:tr>
      <w:tr w:rsidTr="00B969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rPr>
                <w:rStyle w:val="Emphasis"/>
              </w:rPr>
              <w:t>Elements define the</w:t>
            </w:r>
            <w:r w:rsidRPr="00B96981">
              <w:rPr>
                <w:rStyle w:val="Emphasis"/>
              </w:rPr>
              <w:t xml:space="preserve"> essential </w:t>
            </w:r>
            <w:r w:rsidRPr="00B96981">
              <w:t>outcomes</w:t>
            </w: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rPr>
                <w:rStyle w:val="Emphasis"/>
              </w:rPr>
              <w:t>Performance criteria describe the performance needed to demonstrate achievement of the element</w:t>
            </w: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1. Receive and prepare client</w:t>
            </w:r>
          </w:p>
        </w:tc>
        <w:tc>
          <w:tcPr>
            <w:tcW w:w="5702"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t xml:space="preserve">1.1 Greet client, confirm identity, correlate with identification band, client notes, consent form and follow </w:t>
            </w:r>
            <w:r w:rsidRPr="00B96981">
              <w:t xml:space="preserve">other identification procedures according to organisation policy </w:t>
            </w:r>
          </w:p>
          <w:p w:rsidR="00000000" w:rsidRPr="00B96981" w:rsidP="00B96981">
            <w:pPr>
              <w:pStyle w:val="BodyText"/>
            </w:pPr>
            <w:r w:rsidRPr="00B96981">
              <w:t>1.2 Acknowledge accompanying relatives and carers sensitively and appropriately</w:t>
            </w:r>
          </w:p>
          <w:p w:rsidR="00000000" w:rsidRPr="00B96981" w:rsidP="00B96981">
            <w:pPr>
              <w:pStyle w:val="BodyText"/>
            </w:pPr>
            <w:r w:rsidRPr="00B96981">
              <w:t>1.3 Obtain verbal confirmation of surgical procedure and location if applicable</w:t>
            </w:r>
          </w:p>
          <w:p w:rsidR="00000000" w:rsidRPr="00B96981" w:rsidP="00B96981">
            <w:pPr>
              <w:pStyle w:val="BodyText"/>
            </w:pPr>
            <w:r w:rsidRPr="00B96981">
              <w:t>1.4 Note any client factors th</w:t>
            </w:r>
            <w:r w:rsidRPr="00B96981">
              <w:t>at impact on their care</w:t>
            </w:r>
          </w:p>
          <w:p w:rsidR="00000000" w:rsidRPr="00B96981" w:rsidP="00B96981">
            <w:pPr>
              <w:pStyle w:val="BodyText"/>
            </w:pPr>
            <w:r w:rsidRPr="00B96981">
              <w:t>1.5 Complete preparation tasks or check that these have been completed by others and provide clear information to client</w:t>
            </w:r>
          </w:p>
          <w:p w:rsidR="00000000" w:rsidRPr="00B96981" w:rsidP="00B96981">
            <w:pPr>
              <w:pStyle w:val="BodyText"/>
            </w:pPr>
            <w:r w:rsidRPr="00B96981">
              <w:t>1.6 Monitor the client’s safety, physical and emotional wellbeing through continual observation</w:t>
            </w:r>
          </w:p>
          <w:p w:rsidR="00000000" w:rsidRPr="00B96981" w:rsidP="00B96981">
            <w:pPr>
              <w:pStyle w:val="BodyText"/>
            </w:pPr>
            <w:r w:rsidRPr="00B96981">
              <w:t>1.7 Identify, record and immediately report any variations, discrepancies and changes to the client, their documentation or their wishes to the anaesthetist and other relevant personnel</w:t>
            </w:r>
          </w:p>
          <w:p w:rsidR="00000000" w:rsidP="00B96981">
            <w:pPr>
              <w:pStyle w:val="BodyText"/>
              <w:rPr>
                <w:lang w:val="en-NZ"/>
              </w:rPr>
            </w:pPr>
            <w:r w:rsidRPr="00B96981">
              <w:t>1.8 Label client property and store securely in accordance with organi</w:t>
            </w:r>
            <w:r w:rsidRPr="00B96981">
              <w:t>sation policy</w:t>
            </w: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 xml:space="preserve">2. Attach and detach equipment </w:t>
            </w:r>
          </w:p>
        </w:tc>
        <w:tc>
          <w:tcPr>
            <w:tcW w:w="5702"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t>2.1 Select routine monitoring and other equipment in accordance with anaesthetist’s preference</w:t>
            </w:r>
          </w:p>
          <w:p w:rsidR="00000000" w:rsidRPr="00B96981" w:rsidP="00B96981">
            <w:pPr>
              <w:pStyle w:val="BodyText"/>
            </w:pPr>
            <w:r w:rsidRPr="00B96981">
              <w:t>2.2 Prepare skin and attach correctly, following infection prevention and control procedures</w:t>
            </w:r>
          </w:p>
          <w:p w:rsidR="00000000" w:rsidRPr="00B96981" w:rsidP="00B96981">
            <w:pPr>
              <w:pStyle w:val="BodyText"/>
            </w:pPr>
            <w:r w:rsidRPr="00B96981">
              <w:t xml:space="preserve">2.3 Set equipment </w:t>
            </w:r>
            <w:r w:rsidRPr="00B96981">
              <w:t>in operation and confirm functioning</w:t>
            </w:r>
          </w:p>
          <w:p w:rsidR="00000000" w:rsidRPr="00B96981" w:rsidP="00B96981">
            <w:pPr>
              <w:pStyle w:val="BodyText"/>
            </w:pPr>
            <w:r w:rsidRPr="00B96981">
              <w:t>2.4 Carefully detach equipment with minimum risk of damage to client, staff or equipment, once the anaesthetist indicates that it is no longer required</w:t>
            </w:r>
          </w:p>
          <w:p w:rsidR="00000000" w:rsidP="00B96981">
            <w:pPr>
              <w:pStyle w:val="BodyText"/>
              <w:rPr>
                <w:lang w:val="en-NZ"/>
              </w:rPr>
            </w:pPr>
            <w:r w:rsidRPr="00B96981">
              <w:t>2.5 Clean and restore equipment ready for reuse</w:t>
            </w: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3. Provide assi</w:t>
            </w:r>
            <w:r w:rsidRPr="00B96981">
              <w:t>stance with insertion of intravenous cannulation</w:t>
            </w:r>
          </w:p>
        </w:tc>
        <w:tc>
          <w:tcPr>
            <w:tcW w:w="5702"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t xml:space="preserve">3.1 Liaise with anaesthetist to confirm requirements </w:t>
            </w:r>
          </w:p>
          <w:p w:rsidR="00000000" w:rsidRPr="00B96981" w:rsidP="00B96981">
            <w:pPr>
              <w:pStyle w:val="BodyText"/>
            </w:pPr>
            <w:r w:rsidRPr="00B96981">
              <w:t xml:space="preserve">3.2 Observe client behaviour and respond to situations where support is required </w:t>
            </w:r>
          </w:p>
          <w:p w:rsidR="00000000" w:rsidRPr="00B96981" w:rsidP="00B96981">
            <w:pPr>
              <w:pStyle w:val="BodyText"/>
            </w:pPr>
            <w:r w:rsidRPr="00B96981">
              <w:t xml:space="preserve">3.3. Provide optimum conditions to facilitate access </w:t>
            </w:r>
          </w:p>
          <w:p w:rsidR="00000000" w:rsidRPr="00B96981" w:rsidP="00B96981">
            <w:pPr>
              <w:pStyle w:val="BodyText"/>
            </w:pPr>
            <w:r w:rsidRPr="00B96981">
              <w:t>3.4 Select, prepa</w:t>
            </w:r>
            <w:r w:rsidRPr="00B96981">
              <w:t>re and provide anaesthetic medical officer with required equipment in an aseptic manner</w:t>
            </w:r>
          </w:p>
          <w:p w:rsidR="00000000" w:rsidRPr="00B96981" w:rsidP="00B96981">
            <w:pPr>
              <w:pStyle w:val="BodyText"/>
            </w:pPr>
            <w:r w:rsidRPr="00B96981">
              <w:t xml:space="preserve">3.5 Following insertion, adequately and safely secure the device </w:t>
            </w:r>
          </w:p>
          <w:p w:rsidR="00000000" w:rsidP="00B96981">
            <w:pPr>
              <w:pStyle w:val="BodyText"/>
              <w:rPr>
                <w:lang w:val="en-NZ"/>
              </w:rPr>
            </w:pPr>
            <w:r w:rsidRPr="00B96981">
              <w:t>3.6 Dispose of waste/sharps in accordance with waste management policies and infection control guidelines</w:t>
            </w: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4. Assist with transfer of clients</w:t>
            </w:r>
          </w:p>
        </w:tc>
        <w:tc>
          <w:tcPr>
            <w:tcW w:w="5702"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t xml:space="preserve">4.1 Plan to transfer client into procedural/operating room according to operational requirements </w:t>
            </w:r>
          </w:p>
          <w:p w:rsidR="00000000" w:rsidRPr="00B96981" w:rsidP="00B96981">
            <w:pPr>
              <w:pStyle w:val="BodyText"/>
            </w:pPr>
            <w:r w:rsidRPr="00B96981">
              <w:t>4.2 Ensure re</w:t>
            </w:r>
            <w:r w:rsidRPr="00B96981">
              <w:t xml:space="preserve">levant personnel and client are aware of the actions to be performed </w:t>
            </w:r>
          </w:p>
          <w:p w:rsidR="00000000" w:rsidRPr="00B96981" w:rsidP="00B96981">
            <w:pPr>
              <w:pStyle w:val="BodyText"/>
            </w:pPr>
            <w:r w:rsidRPr="00B96981">
              <w:t xml:space="preserve">4.3 Detach equipment/infusions not required from the client before the transfer takes place </w:t>
            </w:r>
          </w:p>
          <w:p w:rsidR="00000000" w:rsidRPr="00B96981" w:rsidP="00B96981">
            <w:pPr>
              <w:pStyle w:val="BodyText"/>
            </w:pPr>
            <w:r w:rsidRPr="00B96981">
              <w:t xml:space="preserve">4.4 Ensure equipment attached to the client is safely and correctly adjusted during transfer </w:t>
            </w:r>
          </w:p>
          <w:p w:rsidR="00000000" w:rsidRPr="00B96981" w:rsidP="00B96981">
            <w:pPr>
              <w:pStyle w:val="BodyText"/>
            </w:pPr>
            <w:r w:rsidRPr="00B96981">
              <w:t>4.5 Employ safe moving and handling techniques during client transfer</w:t>
            </w:r>
          </w:p>
          <w:p w:rsidR="00000000" w:rsidRPr="00B96981" w:rsidP="00B96981">
            <w:pPr>
              <w:pStyle w:val="BodyText"/>
            </w:pPr>
            <w:r w:rsidRPr="00B96981">
              <w:t xml:space="preserve">4.6 Ensure movement is conducted safely and client discomfort minimised </w:t>
            </w:r>
          </w:p>
          <w:p w:rsidR="00000000" w:rsidRPr="00B96981" w:rsidP="00B96981">
            <w:pPr>
              <w:pStyle w:val="BodyText"/>
            </w:pPr>
            <w:r w:rsidRPr="00B96981">
              <w:t>4.7 Correctly re-connect and adjust equipment/infusions on completion of transfer, as necessary</w:t>
            </w:r>
          </w:p>
          <w:p w:rsidR="00000000" w:rsidP="00B96981">
            <w:pPr>
              <w:pStyle w:val="BodyText"/>
              <w:rPr>
                <w:lang w:val="en-NZ"/>
              </w:rPr>
            </w:pPr>
            <w:r w:rsidRPr="00B96981">
              <w:t>4.8 Maintain cli</w:t>
            </w:r>
            <w:r w:rsidRPr="00B96981">
              <w:t xml:space="preserve">ent’s dignity during transfer </w:t>
            </w: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p>
        </w:tc>
      </w:tr>
      <w:tr w:rsidTr="00B969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t xml:space="preserve">5. Assist with positioning of clients </w:t>
            </w:r>
          </w:p>
        </w:tc>
        <w:tc>
          <w:tcPr>
            <w:tcW w:w="5702" w:type="dxa"/>
            <w:tcBorders>
              <w:top w:val="nil"/>
              <w:left w:val="nil"/>
              <w:bottom w:val="nil"/>
              <w:right w:val="nil"/>
            </w:tcBorders>
            <w:tcMar>
              <w:top w:w="0" w:type="dxa"/>
              <w:left w:w="62" w:type="dxa"/>
              <w:bottom w:w="0" w:type="dxa"/>
              <w:right w:w="62" w:type="dxa"/>
            </w:tcMar>
          </w:tcPr>
          <w:p w:rsidR="00000000" w:rsidRPr="00B96981" w:rsidP="00B96981">
            <w:pPr>
              <w:pStyle w:val="BodyText"/>
            </w:pPr>
            <w:r w:rsidRPr="00B96981">
              <w:t xml:space="preserve">5.1 Inform client of positioning procedures to be completed, and seek his/her cooperation when appropriate </w:t>
            </w:r>
          </w:p>
          <w:p w:rsidR="00000000" w:rsidRPr="00B96981" w:rsidP="00B96981">
            <w:pPr>
              <w:pStyle w:val="BodyText"/>
            </w:pPr>
            <w:r w:rsidRPr="00B96981">
              <w:t xml:space="preserve">5.2 Position client in consultation with other health care professionals </w:t>
            </w:r>
          </w:p>
          <w:p w:rsidR="00000000" w:rsidRPr="00B96981" w:rsidP="00B96981">
            <w:pPr>
              <w:pStyle w:val="BodyText"/>
            </w:pPr>
            <w:r w:rsidRPr="00B96981">
              <w:t>5.3 Ensure all relevant equipment is available, is functioning correctly and is correctly attached/placed in accordance with the anaesthetist’s and surgeon’s preferences and the individual needs of the client</w:t>
            </w:r>
          </w:p>
          <w:p w:rsidR="00000000" w:rsidRPr="00B96981" w:rsidP="00B96981">
            <w:pPr>
              <w:pStyle w:val="BodyText"/>
            </w:pPr>
            <w:r w:rsidRPr="00B96981">
              <w:t>5.4 Ensure client is protected from injury in c</w:t>
            </w:r>
            <w:r w:rsidRPr="00B96981">
              <w:t xml:space="preserve">ollaboration with other relevant health professionals </w:t>
            </w:r>
          </w:p>
          <w:p w:rsidR="00000000" w:rsidRPr="00B96981" w:rsidP="00B96981">
            <w:pPr>
              <w:pStyle w:val="BodyText"/>
            </w:pPr>
            <w:r w:rsidRPr="00B96981">
              <w:t>5.5 Obtain assistance to position client when necessary</w:t>
            </w:r>
          </w:p>
          <w:p w:rsidR="00000000" w:rsidRPr="00B96981" w:rsidP="00B96981">
            <w:pPr>
              <w:pStyle w:val="BodyText"/>
            </w:pPr>
            <w:r w:rsidRPr="00B96981">
              <w:t>5.6 Observe any abnormal responses and report any action required to be taken to the anaesthetist</w:t>
            </w:r>
          </w:p>
        </w:tc>
      </w:tr>
    </w:tbl>
    <w:p w:rsidR="00744755" w:rsidP="00B96981">
      <w:pPr>
        <w:pStyle w:val="BodyText"/>
      </w:pPr>
    </w:p>
    <w:p w:rsidR="00744755" w:rsidP="00B96981">
      <w:pPr>
        <w:pStyle w:val="BodyText"/>
      </w:pPr>
    </w:p>
    <w:p w:rsidR="00000000" w:rsidRPr="00B96981" w:rsidP="00B96981">
      <w:pPr>
        <w:pStyle w:val="Heading1"/>
      </w:pPr>
      <w:bookmarkStart w:id="4" w:name="O_873339"/>
      <w:bookmarkEnd w:id="4"/>
      <w:r w:rsidRPr="00B96981">
        <w:t>Foundation Skills</w:t>
      </w:r>
    </w:p>
    <w:tbl>
      <w:tblPr>
        <w:tblW w:w="0" w:type="auto"/>
        <w:tblLayout w:type="fixed"/>
        <w:tblCellMar>
          <w:left w:w="62" w:type="dxa"/>
          <w:right w:w="62" w:type="dxa"/>
        </w:tblCellMar>
        <w:tblLook w:val="0000"/>
      </w:tblPr>
      <w:tblGrid>
        <w:gridCol w:w="8931"/>
      </w:tblGrid>
      <w:tr w:rsidTr="00B96981">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B96981">
            <w:pPr>
              <w:pStyle w:val="BodyText"/>
              <w:rPr>
                <w:lang w:val="en-NZ"/>
              </w:rPr>
            </w:pPr>
            <w:r w:rsidRPr="00B96981">
              <w:rPr>
                <w:rStyle w:val="Emphasis"/>
              </w:rPr>
              <w:t xml:space="preserve">The Foundation Skills describe those required skills (employability skills, language, literacy and numeracy) that are essential to performance. </w:t>
            </w:r>
          </w:p>
        </w:tc>
      </w:tr>
      <w:tr w:rsidTr="00B96981">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B96981" w:rsidP="00B96981">
            <w:pPr>
              <w:pStyle w:val="BodyText"/>
            </w:pPr>
          </w:p>
          <w:p w:rsidR="00000000" w:rsidRPr="00B96981" w:rsidP="00B96981">
            <w:pPr>
              <w:pStyle w:val="BodyText"/>
            </w:pPr>
            <w:r w:rsidRPr="00B96981">
              <w:t>Foundation skills essential to performance are explicit in the performance criteria of this unit of competenc</w:t>
            </w:r>
            <w:r w:rsidRPr="00B96981">
              <w:t xml:space="preserve">y. </w:t>
            </w:r>
          </w:p>
          <w:p w:rsidR="00000000" w:rsidRPr="00B96981" w:rsidP="00B96981">
            <w:pPr>
              <w:pStyle w:val="BodyText"/>
            </w:pPr>
          </w:p>
        </w:tc>
      </w:tr>
    </w:tbl>
    <w:p w:rsidR="00744755" w:rsidP="00B96981">
      <w:pPr>
        <w:pStyle w:val="BodyText"/>
      </w:pPr>
    </w:p>
    <w:p w:rsidR="00744755" w:rsidP="00B96981">
      <w:pPr>
        <w:pStyle w:val="BodyText"/>
      </w:pPr>
    </w:p>
    <w:p w:rsidR="00000000" w:rsidRPr="00B96981" w:rsidP="00B96981">
      <w:pPr>
        <w:pStyle w:val="Heading1"/>
      </w:pPr>
      <w:bookmarkStart w:id="5" w:name="O_873338"/>
      <w:bookmarkEnd w:id="5"/>
      <w:r w:rsidRPr="00B96981">
        <w:t>Unit Mapping Information</w:t>
      </w:r>
    </w:p>
    <w:p w:rsidR="00000000" w:rsidRPr="00B96981" w:rsidP="00744755">
      <w:pPr>
        <w:pStyle w:val="BodyText"/>
      </w:pPr>
      <w:r w:rsidRPr="00B96981">
        <w:t xml:space="preserve">No equivalent unit. </w:t>
      </w:r>
    </w:p>
    <w:p w:rsidR="00000000" w:rsidRPr="00B96981" w:rsidP="00B96981">
      <w:pPr>
        <w:pStyle w:val="Heading1"/>
      </w:pPr>
      <w:bookmarkStart w:id="6" w:name="O_873343"/>
      <w:bookmarkEnd w:id="6"/>
      <w:r w:rsidRPr="00B96981">
        <w:t>Links</w:t>
      </w:r>
    </w:p>
    <w:p w:rsidR="00000000" w:rsidRPr="00B96981" w:rsidP="00744755">
      <w:pPr>
        <w:pStyle w:val="BodyText"/>
      </w:pPr>
      <w:r w:rsidRPr="00B969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3C80">
        <w:rPr>
          <w:rStyle w:val="Hyperlink"/>
        </w:rPr>
        <w:t>https://vetnet.gov.au/Pages/TrainingDocs.aspx?q=ced1390f-48d9-4ab0-bd50-b015e5485705</w:t>
      </w:r>
      <w:r>
        <w:fldChar w:fldCharType="end"/>
      </w:r>
    </w:p>
    <w:p w:rsidR="00000000" w:rsidRPr="00B96981" w:rsidP="00744755">
      <w:pPr>
        <w:pStyle w:val="BodyText"/>
        <w:sectPr w:rsidSect="00B96981">
          <w:headerReference w:type="default" r:id="rId10"/>
          <w:footerReference w:type="default" r:id="rId11"/>
          <w:pgSz w:w="11908" w:h="16833"/>
          <w:pgMar w:top="1702" w:right="1418" w:bottom="1702" w:left="1418" w:header="992" w:footer="992" w:gutter="0"/>
          <w:cols w:space="720"/>
          <w:noEndnote/>
          <w:docGrid w:linePitch="299"/>
        </w:sectPr>
      </w:pPr>
    </w:p>
    <w:p w:rsidR="00000000" w:rsidRPr="00B96981" w:rsidP="00B96981">
      <w:pPr>
        <w:pStyle w:val="SuperHeading"/>
      </w:pPr>
      <w:r w:rsidRPr="00B96981">
        <w:t>Assessment Requirements for HLTANA001 Prepare clients for anaesthesia</w:t>
      </w:r>
    </w:p>
    <w:p w:rsidR="00000000" w:rsidRPr="00B96981" w:rsidP="00B96981">
      <w:pPr>
        <w:pStyle w:val="Heading1"/>
      </w:pPr>
      <w:bookmarkStart w:id="7" w:name="O_873336"/>
      <w:bookmarkEnd w:id="7"/>
      <w:r w:rsidRPr="00B96981">
        <w:t>Modification History</w:t>
      </w:r>
    </w:p>
    <w:tbl>
      <w:tblPr>
        <w:tblW w:w="0" w:type="auto"/>
        <w:tblLayout w:type="fixed"/>
        <w:tblCellMar>
          <w:left w:w="62" w:type="dxa"/>
          <w:right w:w="62" w:type="dxa"/>
        </w:tblCellMar>
        <w:tblLook w:val="0000"/>
      </w:tblPr>
      <w:tblGrid>
        <w:gridCol w:w="2790"/>
        <w:gridCol w:w="6344"/>
      </w:tblGrid>
      <w:tr w:rsidTr="00B969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Comments</w:t>
            </w:r>
          </w:p>
        </w:tc>
      </w:tr>
      <w:tr w:rsidTr="00B9698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This version was released in </w:t>
            </w:r>
            <w:r w:rsidRPr="00B96981">
              <w:rPr>
                <w:rStyle w:val="Emphasis"/>
              </w:rPr>
              <w:t>HLT Health Training Package release 3.0.</w:t>
            </w:r>
          </w:p>
          <w:p w:rsidR="00000000" w:rsidP="00B96981">
            <w:pPr>
              <w:pStyle w:val="BodyText"/>
              <w:rPr>
                <w:lang w:val="en-NZ"/>
              </w:rPr>
            </w:pPr>
            <w:r w:rsidRPr="00B96981">
              <w:t>Upda</w:t>
            </w:r>
            <w:r w:rsidRPr="00B96981">
              <w:t>te to mapping and metadata. Equivalent competency outcome.</w:t>
            </w:r>
          </w:p>
        </w:tc>
      </w:tr>
      <w:tr w:rsidTr="00B9698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This version was released in </w:t>
            </w:r>
            <w:r w:rsidRPr="00B96981">
              <w:rPr>
                <w:rStyle w:val="Emphasis"/>
              </w:rPr>
              <w:t>HLT Health Training Package release 2.0</w:t>
            </w:r>
            <w:r w:rsidRPr="00B96981">
              <w:t xml:space="preserve"> and meets the requirements of the 2012 Standards for Training Packages.</w:t>
            </w:r>
          </w:p>
          <w:p w:rsidR="00000000" w:rsidRPr="00B96981" w:rsidP="00B96981">
            <w:pPr>
              <w:pStyle w:val="BodyText"/>
            </w:pPr>
            <w:r w:rsidRPr="00B96981">
              <w:t>Supersedes HLTAN402D. Significant changes to the elements and performance criteria. New evidence requirements for assessment, including volume and frequency requirements. Significant change to knowledge evidence.</w:t>
            </w:r>
          </w:p>
        </w:tc>
      </w:tr>
    </w:tbl>
    <w:p w:rsidR="00744755" w:rsidP="00B96981">
      <w:pPr>
        <w:pStyle w:val="BodyText"/>
      </w:pPr>
    </w:p>
    <w:p w:rsidR="00744755" w:rsidP="00B96981">
      <w:pPr>
        <w:pStyle w:val="BodyText"/>
      </w:pPr>
    </w:p>
    <w:p w:rsidR="00000000" w:rsidRPr="00B96981" w:rsidP="00B96981">
      <w:pPr>
        <w:pStyle w:val="Heading1"/>
      </w:pPr>
      <w:bookmarkStart w:id="8" w:name="O_873335"/>
      <w:bookmarkEnd w:id="8"/>
      <w:r w:rsidRPr="00B96981">
        <w:t>Performance Evidence</w:t>
      </w:r>
    </w:p>
    <w:p w:rsidR="00000000" w:rsidRPr="00B96981" w:rsidP="00744755">
      <w:pPr>
        <w:pStyle w:val="BodyText"/>
      </w:pPr>
      <w:r w:rsidRPr="00B9698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96981" w:rsidP="00B96981">
      <w:pPr>
        <w:pStyle w:val="ListBullet"/>
      </w:pPr>
      <w:r w:rsidRPr="00B96981">
        <w:t>followed est</w:t>
      </w:r>
      <w:r w:rsidRPr="00B96981">
        <w:t>ablished technical, infection control and safety procedures to receive, prepare, transfer and position at least 10 different clients for procedures involving anaesthesia</w:t>
      </w:r>
    </w:p>
    <w:p w:rsidR="00000000" w:rsidRPr="00B96981" w:rsidP="00B96981">
      <w:pPr>
        <w:pStyle w:val="ListBullet"/>
      </w:pPr>
      <w:r w:rsidRPr="00B96981">
        <w:t>placed patients in all of the following positions:</w:t>
      </w:r>
    </w:p>
    <w:p w:rsidR="00000000" w:rsidRPr="00B96981" w:rsidP="00B96981">
      <w:pPr>
        <w:pStyle w:val="ListBullet2"/>
      </w:pPr>
      <w:r w:rsidRPr="00B96981">
        <w:t>prone</w:t>
      </w:r>
    </w:p>
    <w:p w:rsidR="00000000" w:rsidRPr="00B96981" w:rsidP="00B96981">
      <w:pPr>
        <w:pStyle w:val="ListBullet2"/>
      </w:pPr>
      <w:r w:rsidRPr="00B96981">
        <w:t>lateral</w:t>
      </w:r>
    </w:p>
    <w:p w:rsidR="00000000" w:rsidRPr="00B96981" w:rsidP="00B96981">
      <w:pPr>
        <w:pStyle w:val="ListBullet2"/>
      </w:pPr>
      <w:r w:rsidRPr="00B96981">
        <w:t>lithotomy</w:t>
      </w:r>
    </w:p>
    <w:p w:rsidR="00000000" w:rsidRPr="00B96981" w:rsidP="00B96981">
      <w:pPr>
        <w:pStyle w:val="ListBullet2"/>
      </w:pPr>
      <w:r w:rsidRPr="00B96981">
        <w:t>supine</w:t>
      </w:r>
    </w:p>
    <w:p w:rsidR="00000000" w:rsidRPr="00B96981" w:rsidP="00B96981">
      <w:pPr>
        <w:pStyle w:val="ListBullet2"/>
      </w:pPr>
      <w:r w:rsidRPr="00B96981">
        <w:t>Trendelenburg</w:t>
      </w:r>
    </w:p>
    <w:p w:rsidR="00000000" w:rsidRPr="00B96981" w:rsidP="00B96981">
      <w:pPr>
        <w:pStyle w:val="ListBullet2"/>
      </w:pPr>
      <w:r w:rsidRPr="00B96981">
        <w:t>reverse Trendelenburg</w:t>
      </w:r>
    </w:p>
    <w:p w:rsidR="00000000" w:rsidRPr="00B96981" w:rsidP="00B96981">
      <w:pPr>
        <w:pStyle w:val="ListBullet"/>
      </w:pPr>
      <w:r w:rsidRPr="00B96981">
        <w:t>used the following equipment correctly:</w:t>
      </w:r>
    </w:p>
    <w:p w:rsidR="00000000" w:rsidRPr="00B96981" w:rsidP="00B96981">
      <w:pPr>
        <w:pStyle w:val="ListBullet2"/>
      </w:pPr>
      <w:r w:rsidRPr="00B96981">
        <w:t>beds</w:t>
      </w:r>
    </w:p>
    <w:p w:rsidR="00000000" w:rsidRPr="00B96981" w:rsidP="00B96981">
      <w:pPr>
        <w:pStyle w:val="ListBullet2"/>
      </w:pPr>
      <w:r w:rsidRPr="00B96981">
        <w:t>theatre trolley</w:t>
      </w:r>
    </w:p>
    <w:p w:rsidR="00000000" w:rsidRPr="00B96981" w:rsidP="00B96981">
      <w:pPr>
        <w:pStyle w:val="ListBullet2"/>
      </w:pPr>
      <w:r w:rsidRPr="00B96981">
        <w:t>operating table</w:t>
      </w:r>
    </w:p>
    <w:p w:rsidR="00000000" w:rsidRPr="00B96981" w:rsidP="00B96981">
      <w:pPr>
        <w:pStyle w:val="ListBullet2"/>
      </w:pPr>
      <w:r w:rsidRPr="00B96981">
        <w:t>patient handling equipment, including specialised equipment</w:t>
      </w:r>
    </w:p>
    <w:p w:rsidR="00000000" w:rsidRPr="00B96981" w:rsidP="00B96981">
      <w:pPr>
        <w:pStyle w:val="ListBullet2"/>
      </w:pPr>
      <w:r w:rsidRPr="00B96981">
        <w:t>wheelchairs</w:t>
      </w:r>
    </w:p>
    <w:p w:rsidR="00000000" w:rsidRPr="00B96981" w:rsidP="00B96981">
      <w:pPr>
        <w:pStyle w:val="AllowPageBreak"/>
      </w:pPr>
    </w:p>
    <w:p w:rsidR="00000000" w:rsidRPr="00B96981" w:rsidP="00B96981">
      <w:pPr>
        <w:pStyle w:val="Heading1"/>
      </w:pPr>
      <w:bookmarkStart w:id="9" w:name="O_873334"/>
      <w:bookmarkEnd w:id="9"/>
      <w:r w:rsidRPr="00B96981">
        <w:t>Knowledge Evidence</w:t>
      </w:r>
    </w:p>
    <w:p w:rsidR="00000000" w:rsidRPr="00B96981" w:rsidP="00744755">
      <w:pPr>
        <w:pStyle w:val="BodyText"/>
      </w:pPr>
      <w:r w:rsidRPr="00B9698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96981">
        <w:t>of:</w:t>
      </w:r>
    </w:p>
    <w:p w:rsidR="00000000" w:rsidRPr="00B96981" w:rsidP="00B96981">
      <w:pPr>
        <w:pStyle w:val="ListBullet"/>
      </w:pPr>
      <w:r w:rsidRPr="00B96981">
        <w:t>legal and ethical considerations (national, state/territory) for client preparation, and how these are applied in organisations:</w:t>
      </w:r>
    </w:p>
    <w:p w:rsidR="00000000" w:rsidRPr="00B96981" w:rsidP="00B96981">
      <w:pPr>
        <w:pStyle w:val="ListBullet2"/>
      </w:pPr>
      <w:r w:rsidRPr="00B96981">
        <w:t>codes of practice</w:t>
      </w:r>
    </w:p>
    <w:p w:rsidR="00000000" w:rsidRPr="00B96981" w:rsidP="00B96981">
      <w:pPr>
        <w:pStyle w:val="ListBullet2"/>
      </w:pPr>
      <w:r w:rsidRPr="00B96981">
        <w:t>duty of care</w:t>
      </w:r>
    </w:p>
    <w:p w:rsidR="00000000" w:rsidRPr="00B96981" w:rsidP="00B96981">
      <w:pPr>
        <w:pStyle w:val="ListBullet2"/>
      </w:pPr>
      <w:r w:rsidRPr="00B96981">
        <w:t xml:space="preserve">infection prevention and control </w:t>
      </w:r>
    </w:p>
    <w:p w:rsidR="00000000" w:rsidRPr="00B96981" w:rsidP="00B96981">
      <w:pPr>
        <w:pStyle w:val="ListBullet2"/>
      </w:pPr>
      <w:r w:rsidRPr="00B96981">
        <w:t xml:space="preserve">informed consent </w:t>
      </w:r>
    </w:p>
    <w:p w:rsidR="00000000" w:rsidRPr="00B96981" w:rsidP="00B96981">
      <w:pPr>
        <w:pStyle w:val="ListBullet2"/>
      </w:pPr>
      <w:r w:rsidRPr="00B96981">
        <w:t xml:space="preserve">mandatory reporting </w:t>
      </w:r>
    </w:p>
    <w:p w:rsidR="00000000" w:rsidRPr="00B96981" w:rsidP="00B96981">
      <w:pPr>
        <w:pStyle w:val="ListBullet2"/>
      </w:pPr>
      <w:r w:rsidRPr="00B96981">
        <w:t>privacy, confiden</w:t>
      </w:r>
      <w:r w:rsidRPr="00B96981">
        <w:t>tiality and disclosure</w:t>
      </w:r>
    </w:p>
    <w:p w:rsidR="00000000" w:rsidRPr="00B96981" w:rsidP="00B96981">
      <w:pPr>
        <w:pStyle w:val="ListBullet2"/>
      </w:pPr>
      <w:r w:rsidRPr="00B96981">
        <w:t xml:space="preserve">records management </w:t>
      </w:r>
    </w:p>
    <w:p w:rsidR="00000000" w:rsidRPr="00B96981" w:rsidP="00B96981">
      <w:pPr>
        <w:pStyle w:val="ListBullet2"/>
      </w:pPr>
      <w:r w:rsidRPr="00B96981">
        <w:t>rights and responsibilities of workers, employers and clients</w:t>
      </w:r>
    </w:p>
    <w:p w:rsidR="00000000" w:rsidRPr="00B96981" w:rsidP="00B96981">
      <w:pPr>
        <w:pStyle w:val="ListBullet2"/>
      </w:pPr>
      <w:r w:rsidRPr="00B96981">
        <w:t>work role boundaries – responsibilities and limitations</w:t>
      </w:r>
    </w:p>
    <w:p w:rsidR="00000000" w:rsidRPr="00B96981" w:rsidP="00B96981">
      <w:pPr>
        <w:pStyle w:val="ListBullet2"/>
      </w:pPr>
      <w:r w:rsidRPr="00B96981">
        <w:t>work health and safety (WHS), manual handling and safe client transfer and positioning techniqu</w:t>
      </w:r>
      <w:r w:rsidRPr="00B96981">
        <w:t>es</w:t>
      </w:r>
    </w:p>
    <w:p w:rsidR="00000000" w:rsidRPr="00B96981" w:rsidP="00B96981">
      <w:pPr>
        <w:pStyle w:val="ListBullet"/>
      </w:pPr>
      <w:r w:rsidRPr="00B96981">
        <w:t>function and use of surgical safety lists</w:t>
      </w:r>
    </w:p>
    <w:p w:rsidR="00000000" w:rsidRPr="00B96981" w:rsidP="00B96981">
      <w:pPr>
        <w:pStyle w:val="ListBullet"/>
      </w:pPr>
      <w:r w:rsidRPr="00B96981">
        <w:t>client drains and traction attachments</w:t>
      </w:r>
    </w:p>
    <w:p w:rsidR="00000000" w:rsidRPr="00B96981" w:rsidP="00B96981">
      <w:pPr>
        <w:pStyle w:val="ListBullet"/>
      </w:pPr>
      <w:r w:rsidRPr="00B96981">
        <w:t>pre-medications and their effects relevant to providing assistance in anaesthesia</w:t>
      </w:r>
    </w:p>
    <w:p w:rsidR="00000000" w:rsidRPr="00B96981" w:rsidP="00B96981">
      <w:pPr>
        <w:pStyle w:val="ListBullet"/>
      </w:pPr>
      <w:r w:rsidRPr="00B96981">
        <w:t>anatomy, p</w:t>
      </w:r>
      <w:r w:rsidRPr="00B96981">
        <w:t xml:space="preserve">hysiology and pathophysiology factors that impact client positioning and equipment interface for different client groups </w:t>
      </w:r>
    </w:p>
    <w:p w:rsidR="00000000" w:rsidRPr="00B96981" w:rsidP="00B96981">
      <w:pPr>
        <w:pStyle w:val="ListBullet"/>
      </w:pPr>
      <w:r w:rsidRPr="00B96981">
        <w:t>medical terminology specific to client procedures:</w:t>
      </w:r>
    </w:p>
    <w:p w:rsidR="00000000" w:rsidRPr="00B96981" w:rsidP="00B96981">
      <w:pPr>
        <w:pStyle w:val="ListBullet2"/>
      </w:pPr>
      <w:r w:rsidRPr="00B96981">
        <w:t>preparation</w:t>
      </w:r>
    </w:p>
    <w:p w:rsidR="00000000" w:rsidRPr="00B96981" w:rsidP="00B96981">
      <w:pPr>
        <w:pStyle w:val="ListBullet2"/>
      </w:pPr>
      <w:r w:rsidRPr="00B96981">
        <w:t>attachment/detachment of equipment</w:t>
      </w:r>
    </w:p>
    <w:p w:rsidR="00000000" w:rsidRPr="00B96981" w:rsidP="00B96981">
      <w:pPr>
        <w:pStyle w:val="ListBullet2"/>
      </w:pPr>
      <w:r w:rsidRPr="00B96981">
        <w:t>positioning</w:t>
      </w:r>
    </w:p>
    <w:p w:rsidR="00000000" w:rsidRPr="00B96981" w:rsidP="00B96981">
      <w:pPr>
        <w:pStyle w:val="ListBullet2"/>
      </w:pPr>
      <w:r w:rsidRPr="00B96981">
        <w:t>transfer</w:t>
      </w:r>
    </w:p>
    <w:p w:rsidR="00000000" w:rsidRPr="00B96981" w:rsidP="00B96981">
      <w:pPr>
        <w:pStyle w:val="ListBullet"/>
      </w:pPr>
      <w:r w:rsidRPr="00B96981">
        <w:t>clinical docu</w:t>
      </w:r>
      <w:r w:rsidRPr="00B96981">
        <w:t>mentation and handover, including World Health Organisation</w:t>
      </w:r>
      <w:r w:rsidRPr="00B96981">
        <w:rPr>
          <w:rStyle w:val="Emphasis"/>
        </w:rPr>
        <w:t xml:space="preserve"> Surgical safety checklist</w:t>
      </w:r>
    </w:p>
    <w:p w:rsidR="00000000" w:rsidRPr="00B96981" w:rsidP="00B96981">
      <w:pPr>
        <w:pStyle w:val="ListBullet"/>
      </w:pPr>
      <w:r w:rsidRPr="00B96981">
        <w:t>tasks involved in client preparation for surgery including:</w:t>
      </w:r>
    </w:p>
    <w:p w:rsidR="00000000" w:rsidRPr="00B96981" w:rsidP="00B96981">
      <w:pPr>
        <w:pStyle w:val="ListBullet2"/>
      </w:pPr>
      <w:r w:rsidRPr="00B96981">
        <w:t>premedications/routine medications</w:t>
      </w:r>
    </w:p>
    <w:p w:rsidR="00000000" w:rsidRPr="00B96981" w:rsidP="00B96981">
      <w:pPr>
        <w:pStyle w:val="ListBullet2"/>
      </w:pPr>
      <w:r w:rsidRPr="00B96981">
        <w:t>antithromboembolytic devices</w:t>
      </w:r>
    </w:p>
    <w:p w:rsidR="00000000" w:rsidRPr="00B96981" w:rsidP="00B96981">
      <w:pPr>
        <w:pStyle w:val="ListBullet2"/>
      </w:pPr>
      <w:r w:rsidRPr="00B96981">
        <w:t>removal of personnel items</w:t>
      </w:r>
    </w:p>
    <w:p w:rsidR="00000000" w:rsidRPr="00B96981" w:rsidP="00B96981">
      <w:pPr>
        <w:pStyle w:val="ListBullet2"/>
      </w:pPr>
      <w:r w:rsidRPr="00B96981">
        <w:t>toileting</w:t>
      </w:r>
    </w:p>
    <w:p w:rsidR="00000000" w:rsidRPr="00B96981" w:rsidP="00B96981">
      <w:pPr>
        <w:pStyle w:val="ListBullet2"/>
      </w:pPr>
      <w:r w:rsidRPr="00B96981">
        <w:t>fasting</w:t>
      </w:r>
    </w:p>
    <w:p w:rsidR="00000000" w:rsidRPr="00B96981" w:rsidP="00B96981">
      <w:pPr>
        <w:pStyle w:val="ListBullet2"/>
      </w:pPr>
      <w:r w:rsidRPr="00B96981">
        <w:t>pathology testing</w:t>
      </w:r>
    </w:p>
    <w:p w:rsidR="00000000" w:rsidRPr="00B96981" w:rsidP="00B96981">
      <w:pPr>
        <w:pStyle w:val="ListBullet2"/>
      </w:pPr>
      <w:r w:rsidRPr="00B96981">
        <w:t>clinical measurements</w:t>
      </w:r>
    </w:p>
    <w:p w:rsidR="00000000" w:rsidRPr="00B96981" w:rsidP="00B96981">
      <w:pPr>
        <w:pStyle w:val="ListBullet2"/>
      </w:pPr>
      <w:r w:rsidRPr="00B96981">
        <w:t>radiological investigations</w:t>
      </w:r>
    </w:p>
    <w:p w:rsidR="00000000" w:rsidRPr="00B96981" w:rsidP="00B96981">
      <w:pPr>
        <w:pStyle w:val="ListBullet2"/>
      </w:pPr>
      <w:r w:rsidRPr="00B96981">
        <w:t>prewarming</w:t>
      </w:r>
    </w:p>
    <w:p w:rsidR="00000000" w:rsidRPr="00B96981" w:rsidP="00B96981">
      <w:pPr>
        <w:pStyle w:val="ListBullet2"/>
      </w:pPr>
      <w:r w:rsidRPr="00B96981">
        <w:t>surgical site preparation</w:t>
      </w:r>
    </w:p>
    <w:p w:rsidR="00000000" w:rsidRPr="00B96981" w:rsidP="00B96981">
      <w:pPr>
        <w:pStyle w:val="ListBullet"/>
      </w:pPr>
      <w:r w:rsidRPr="00B96981">
        <w:t>how to attach routine monitoring and equipment, including:</w:t>
      </w:r>
    </w:p>
    <w:p w:rsidR="00000000" w:rsidRPr="00B96981" w:rsidP="00B96981">
      <w:pPr>
        <w:pStyle w:val="ListBullet2"/>
      </w:pPr>
      <w:r w:rsidRPr="00B96981">
        <w:t>electrocardiography (ECG)</w:t>
      </w:r>
    </w:p>
    <w:p w:rsidR="00000000" w:rsidRPr="00B96981" w:rsidP="00B96981">
      <w:pPr>
        <w:pStyle w:val="ListBullet2"/>
      </w:pPr>
      <w:r w:rsidRPr="00B96981">
        <w:t>non-invasive blood pressure cuff</w:t>
      </w:r>
    </w:p>
    <w:p w:rsidR="00000000" w:rsidRPr="00B96981" w:rsidP="00B96981">
      <w:pPr>
        <w:pStyle w:val="ListBullet2"/>
      </w:pPr>
      <w:r w:rsidRPr="00B96981">
        <w:t>pulse oximetry</w:t>
      </w:r>
    </w:p>
    <w:p w:rsidR="00000000" w:rsidRPr="00B96981" w:rsidP="00B96981">
      <w:pPr>
        <w:pStyle w:val="ListBullet2"/>
      </w:pPr>
      <w:r w:rsidRPr="00B96981">
        <w:t>gas analyers</w:t>
      </w:r>
    </w:p>
    <w:p w:rsidR="00000000" w:rsidRPr="00B96981" w:rsidP="00B96981">
      <w:pPr>
        <w:pStyle w:val="ListBullet2"/>
      </w:pPr>
      <w:r w:rsidRPr="00B96981">
        <w:t>antithrombembolytic devices</w:t>
      </w:r>
    </w:p>
    <w:p w:rsidR="00000000" w:rsidRPr="00B96981" w:rsidP="00B96981">
      <w:pPr>
        <w:pStyle w:val="ListBullet2"/>
      </w:pPr>
      <w:r w:rsidRPr="00B96981">
        <w:t>diathermy plate</w:t>
      </w:r>
    </w:p>
    <w:p w:rsidR="00000000" w:rsidRPr="00B96981" w:rsidP="00B96981">
      <w:pPr>
        <w:pStyle w:val="ListBullet2"/>
      </w:pPr>
      <w:r w:rsidRPr="00B96981">
        <w:t>warming devices</w:t>
      </w:r>
    </w:p>
    <w:p w:rsidR="00000000" w:rsidRPr="00B96981" w:rsidP="00B96981">
      <w:pPr>
        <w:pStyle w:val="ListBullet2"/>
      </w:pPr>
      <w:r w:rsidRPr="00B96981">
        <w:t>client padding/protection</w:t>
      </w:r>
    </w:p>
    <w:p w:rsidR="00000000" w:rsidRPr="00B96981" w:rsidP="00B96981">
      <w:pPr>
        <w:pStyle w:val="ListBullet"/>
      </w:pPr>
      <w:r w:rsidRPr="00B96981">
        <w:t>intravenous access techniques &amp; equipment used</w:t>
      </w:r>
    </w:p>
    <w:p w:rsidR="00000000" w:rsidRPr="00B96981" w:rsidP="00B96981">
      <w:pPr>
        <w:pStyle w:val="AllowPageBreak"/>
      </w:pPr>
    </w:p>
    <w:p w:rsidR="00000000" w:rsidRPr="00B96981" w:rsidP="00B96981">
      <w:pPr>
        <w:pStyle w:val="Heading1"/>
      </w:pPr>
      <w:bookmarkStart w:id="10" w:name="O_873333"/>
      <w:bookmarkEnd w:id="10"/>
      <w:r w:rsidRPr="00B96981">
        <w:t>Assessment Conditions</w:t>
      </w:r>
    </w:p>
    <w:p w:rsidR="00000000" w:rsidRPr="00B96981" w:rsidP="00744755">
      <w:pPr>
        <w:pStyle w:val="BodyText"/>
      </w:pPr>
      <w:r w:rsidRPr="00B96981">
        <w:t>Skills must have been demonstrated in the workplace with the addition of simulation</w:t>
      </w:r>
      <w:r w:rsidRPr="00B96981">
        <w:t xml:space="preserve">s and scenarios where the full range of contexts and situations have not been provided in the workplace. The following conditions must be met for this unit: </w:t>
      </w:r>
    </w:p>
    <w:p w:rsidR="00000000" w:rsidRPr="00B96981" w:rsidP="00B96981">
      <w:pPr>
        <w:pStyle w:val="ListBullet"/>
      </w:pPr>
      <w:r w:rsidRPr="00B96981">
        <w:t>use of suitable facilities, equipment and resources</w:t>
      </w:r>
    </w:p>
    <w:p w:rsidR="00000000" w:rsidRPr="00B96981" w:rsidP="00B96981">
      <w:pPr>
        <w:pStyle w:val="ListBullet"/>
      </w:pPr>
      <w:r w:rsidRPr="00B96981">
        <w:t>modelling of industry operating conditions, i</w:t>
      </w:r>
      <w:r w:rsidRPr="00B96981">
        <w:t xml:space="preserve">ncluding presence of situations requiring problem solving in </w:t>
      </w:r>
      <w:r w:rsidRPr="00B96981">
        <w:t>non-routine situations</w:t>
      </w:r>
    </w:p>
    <w:p w:rsidR="00000000" w:rsidRPr="00B96981" w:rsidP="00B96981">
      <w:pPr>
        <w:pStyle w:val="BodyText"/>
      </w:pPr>
    </w:p>
    <w:p w:rsidR="00000000" w:rsidRPr="00B96981" w:rsidP="00744755">
      <w:pPr>
        <w:pStyle w:val="BodyText"/>
      </w:pPr>
      <w:r w:rsidRPr="00B96981">
        <w:t>Assessors must satisfy the Standards for Registered Training Organisations (RTOs) 2015/AQTF mandatory competency requirements for assessors.</w:t>
      </w:r>
    </w:p>
    <w:p w:rsidR="00000000" w:rsidRPr="00B96981" w:rsidP="00B96981">
      <w:pPr>
        <w:pStyle w:val="Heading1"/>
      </w:pPr>
      <w:bookmarkStart w:id="11" w:name="O_873344"/>
      <w:bookmarkEnd w:id="11"/>
      <w:r w:rsidRPr="00B96981">
        <w:t>Links</w:t>
      </w:r>
    </w:p>
    <w:p w:rsidR="00000000" w:rsidRPr="00B96981" w:rsidP="00744755">
      <w:pPr>
        <w:pStyle w:val="BodyText"/>
      </w:pPr>
      <w:r w:rsidRPr="00B969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3C80">
        <w:rPr>
          <w:rStyle w:val="Hyperlink"/>
        </w:rPr>
        <w:t>https://vetnet.gov.au/Pages/TrainingDocs.aspx?q=ced1390f-48d9-4ab0-bd50-b015e5485705</w:t>
      </w:r>
      <w:r>
        <w:fldChar w:fldCharType="end"/>
      </w:r>
    </w:p>
    <w:p w:rsidR="00000000" w:rsidRPr="00B96981" w:rsidP="00B96981"/>
    <w:sectPr w:rsidSect="00B969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rsidRPr="00744755" w:rsidP="00744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5" w:rsidP="00B96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4755" w:rsidP="00B969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4755" w:rsidP="00B969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rsidP="00B96981">
    <w:pPr>
      <w:pStyle w:val="Footer"/>
      <w:framePr w:wrap="around"/>
    </w:pPr>
    <w:r>
      <w:fldChar w:fldCharType="begin"/>
    </w:r>
    <w:r>
      <w:instrText xml:space="preserve"> DOCPROPERTY  Subject  \* MERGEFORMAT </w:instrText>
    </w:r>
    <w:r>
      <w:fldChar w:fldCharType="separate"/>
    </w:r>
    <w:r w:rsidR="00744755">
      <w:t>Approved</w:t>
    </w:r>
    <w:r w:rsidR="00744755">
      <w:fldChar w:fldCharType="end"/>
    </w:r>
    <w:r>
      <w:tab/>
      <w:t xml:space="preserve">Page </w:t>
    </w:r>
    <w:r>
      <w:fldChar w:fldCharType="begin"/>
    </w:r>
    <w:r>
      <w:instrText xml:space="preserve"> PAGE  \* Arabic  \* MERGEFORMAT </w:instrText>
    </w:r>
    <w:r>
      <w:fldChar w:fldCharType="separate"/>
    </w:r>
    <w:r w:rsidR="007447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4755">
      <w:rPr>
        <w:noProof/>
      </w:rPr>
      <w:t>6</w:t>
    </w:r>
    <w:r>
      <w:rPr>
        <w:noProof/>
      </w:rPr>
      <w:fldChar w:fldCharType="end"/>
    </w:r>
  </w:p>
  <w:p w:rsidR="00B96981" w:rsidP="00B96981">
    <w:pPr>
      <w:pStyle w:val="Footer"/>
      <w:framePr w:wrap="around"/>
    </w:pPr>
    <w:r>
      <w:t xml:space="preserve">© Commonwealth of Australia, </w:t>
    </w:r>
    <w:r>
      <w:fldChar w:fldCharType="begin"/>
    </w:r>
    <w:r>
      <w:instrText xml:space="preserve"> DATE  \@ "yyyy"  \* MERGEFORMAT </w:instrText>
    </w:r>
    <w:r>
      <w:fldChar w:fldCharType="separate"/>
    </w:r>
    <w:r w:rsidR="00744755">
      <w:rPr>
        <w:noProof/>
      </w:rPr>
      <w:t>2025</w:t>
    </w:r>
    <w:r>
      <w:fldChar w:fldCharType="end"/>
    </w:r>
    <w:r>
      <w:tab/>
    </w:r>
    <w:r>
      <w:fldChar w:fldCharType="begin"/>
    </w:r>
    <w:r>
      <w:instrText xml:space="preserve"> DOCPROPERTY  Author  \* MERGEFORMAT </w:instrText>
    </w:r>
    <w:r>
      <w:fldChar w:fldCharType="separate"/>
    </w:r>
    <w:r w:rsidR="00744755">
      <w:t>HumanAbility</w:t>
    </w:r>
    <w:r w:rsidR="00744755">
      <w:fldChar w:fldCharType="end"/>
    </w:r>
  </w:p>
  <w:p w:rsidR="00B96981" w:rsidP="00B96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981" w:rsidRPr="00744755" w:rsidP="00744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5" w:rsidRPr="002D2AF8" w:rsidP="00B96981">
    <w:pPr>
      <w:pStyle w:val="Header"/>
      <w:framePr w:wrap="around"/>
    </w:pPr>
    <w:r>
      <w:fldChar w:fldCharType="begin"/>
    </w:r>
    <w:r>
      <w:instrText xml:space="preserve"> TITLE   \* MERGEFORMAT </w:instrText>
    </w:r>
    <w:r>
      <w:fldChar w:fldCharType="separate"/>
    </w:r>
    <w:r>
      <w:t>HLTANA001 Prepare clients for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4755" w:rsidP="00B969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rsidRPr="002D2AF8" w:rsidP="00B96981">
    <w:pPr>
      <w:pStyle w:val="Header"/>
      <w:framePr w:wrap="around"/>
    </w:pPr>
    <w:r>
      <w:fldChar w:fldCharType="begin"/>
    </w:r>
    <w:r>
      <w:instrText xml:space="preserve"> TITLE   \* MERGEFORMAT </w:instrText>
    </w:r>
    <w:r>
      <w:fldChar w:fldCharType="separate"/>
    </w:r>
    <w:r w:rsidR="00744755">
      <w:t>HLTANA001 Prepare clients for anaesthesia</w:t>
    </w:r>
    <w:r w:rsidR="00744755">
      <w:fldChar w:fldCharType="end"/>
    </w:r>
    <w:r>
      <w:tab/>
      <w:t xml:space="preserve">Date this document was generated: </w:t>
    </w:r>
    <w:r>
      <w:fldChar w:fldCharType="begin"/>
    </w:r>
    <w:r>
      <w:instrText xml:space="preserve"> CREATEDATE  \@ "d MMMM yyyy"  \* MERGEFORMAT </w:instrText>
    </w:r>
    <w:r>
      <w:fldChar w:fldCharType="separate"/>
    </w:r>
    <w:r w:rsidR="00744755">
      <w:rPr>
        <w:noProof/>
      </w:rPr>
      <w:t>2 March 2025</w:t>
    </w:r>
    <w:r>
      <w:fldChar w:fldCharType="end"/>
    </w:r>
  </w:p>
  <w:p w:rsidR="00B96981" w:rsidP="00B96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61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03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6A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981"/>
    <w:pPr>
      <w:spacing w:before="360" w:after="60"/>
      <w:outlineLvl w:val="0"/>
    </w:pPr>
    <w:rPr>
      <w:sz w:val="32"/>
    </w:rPr>
  </w:style>
  <w:style w:type="paragraph" w:styleId="Heading2">
    <w:name w:val="heading 2"/>
    <w:basedOn w:val="HeadingBase"/>
    <w:next w:val="BodyText"/>
    <w:link w:val="Heading2Char"/>
    <w:qFormat/>
    <w:rsid w:val="00B96981"/>
    <w:pPr>
      <w:keepLines/>
      <w:spacing w:before="240" w:after="120"/>
      <w:outlineLvl w:val="1"/>
    </w:pPr>
    <w:rPr>
      <w:sz w:val="28"/>
      <w:szCs w:val="40"/>
    </w:rPr>
  </w:style>
  <w:style w:type="paragraph" w:styleId="Heading3">
    <w:name w:val="heading 3"/>
    <w:basedOn w:val="HeadingBase"/>
    <w:next w:val="BodyText"/>
    <w:link w:val="Heading3Char"/>
    <w:qFormat/>
    <w:rsid w:val="00B96981"/>
    <w:pPr>
      <w:spacing w:before="180" w:after="120"/>
      <w:outlineLvl w:val="2"/>
    </w:pPr>
    <w:rPr>
      <w:spacing w:val="-10"/>
      <w:kern w:val="32"/>
    </w:rPr>
  </w:style>
  <w:style w:type="paragraph" w:styleId="Heading4">
    <w:name w:val="heading 4"/>
    <w:basedOn w:val="HeadingBase"/>
    <w:next w:val="BodyText"/>
    <w:link w:val="Heading4Char"/>
    <w:qFormat/>
    <w:rsid w:val="00B96981"/>
    <w:pPr>
      <w:spacing w:before="160" w:after="120"/>
      <w:outlineLvl w:val="3"/>
    </w:pPr>
    <w:rPr>
      <w:sz w:val="22"/>
    </w:rPr>
  </w:style>
  <w:style w:type="paragraph" w:styleId="Heading5">
    <w:name w:val="heading 5"/>
    <w:basedOn w:val="HeadingBase"/>
    <w:next w:val="Normal"/>
    <w:link w:val="Heading5Char"/>
    <w:qFormat/>
    <w:rsid w:val="00B96981"/>
    <w:pPr>
      <w:spacing w:before="80"/>
      <w:outlineLvl w:val="4"/>
    </w:pPr>
    <w:rPr>
      <w:color w:val="918585"/>
      <w:sz w:val="20"/>
    </w:rPr>
  </w:style>
  <w:style w:type="paragraph" w:styleId="Heading6">
    <w:name w:val="heading 6"/>
    <w:basedOn w:val="HeadingBase"/>
    <w:next w:val="Normal"/>
    <w:link w:val="Heading6Char"/>
    <w:qFormat/>
    <w:rsid w:val="00B96981"/>
    <w:pPr>
      <w:spacing w:before="60"/>
      <w:outlineLvl w:val="5"/>
    </w:pPr>
    <w:rPr>
      <w:color w:val="918585"/>
      <w:sz w:val="20"/>
    </w:rPr>
  </w:style>
  <w:style w:type="paragraph" w:styleId="Heading7">
    <w:name w:val="heading 7"/>
    <w:basedOn w:val="Normal"/>
    <w:next w:val="Normal"/>
    <w:link w:val="Heading7Char"/>
    <w:qFormat/>
    <w:rsid w:val="00B96981"/>
    <w:pPr>
      <w:ind w:left="720"/>
      <w:outlineLvl w:val="6"/>
    </w:pPr>
    <w:rPr>
      <w:i/>
    </w:rPr>
  </w:style>
  <w:style w:type="paragraph" w:styleId="Heading8">
    <w:name w:val="heading 8"/>
    <w:basedOn w:val="Normal"/>
    <w:next w:val="Normal"/>
    <w:link w:val="Heading8Char"/>
    <w:qFormat/>
    <w:rsid w:val="00B96981"/>
    <w:pPr>
      <w:ind w:left="720"/>
      <w:outlineLvl w:val="7"/>
    </w:pPr>
    <w:rPr>
      <w:i/>
    </w:rPr>
  </w:style>
  <w:style w:type="paragraph" w:styleId="Heading9">
    <w:name w:val="heading 9"/>
    <w:basedOn w:val="Normal"/>
    <w:next w:val="Normal"/>
    <w:link w:val="Heading9Char"/>
    <w:qFormat/>
    <w:rsid w:val="00B96981"/>
    <w:pPr>
      <w:ind w:left="720"/>
      <w:outlineLvl w:val="8"/>
    </w:pPr>
    <w:rPr>
      <w:i/>
    </w:rPr>
  </w:style>
  <w:style w:type="character" w:default="1" w:styleId="DefaultParagraphFont">
    <w:name w:val="Default Paragraph Font"/>
    <w:uiPriority w:val="1"/>
    <w:unhideWhenUsed/>
    <w:rsid w:val="00B96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981"/>
  </w:style>
  <w:style w:type="character" w:customStyle="1" w:styleId="Heading1Char">
    <w:name w:val="Heading 1 Char"/>
    <w:basedOn w:val="DefaultParagraphFont"/>
    <w:link w:val="Heading1"/>
    <w:rsid w:val="00B96981"/>
    <w:rPr>
      <w:rFonts w:ascii="Times New Roman" w:eastAsia="Times New Roman" w:hAnsi="Times New Roman" w:cs="Times New Roman"/>
      <w:b/>
      <w:sz w:val="32"/>
      <w:szCs w:val="20"/>
      <w:lang w:eastAsia="en-US"/>
    </w:rPr>
  </w:style>
  <w:style w:type="paragraph" w:styleId="BodyText">
    <w:name w:val="Body Text"/>
    <w:basedOn w:val="Normal"/>
    <w:link w:val="BodyTextChar"/>
    <w:rsid w:val="00B96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981"/>
    <w:rPr>
      <w:rFonts w:ascii="Times New Roman" w:eastAsia="Times New Roman" w:hAnsi="Times New Roman" w:cs="Times New Roman"/>
      <w:sz w:val="24"/>
      <w:lang w:eastAsia="en-US"/>
    </w:rPr>
  </w:style>
  <w:style w:type="paragraph" w:styleId="ListBullet">
    <w:name w:val="List Bullet"/>
    <w:basedOn w:val="List"/>
    <w:rsid w:val="00B96981"/>
    <w:pPr>
      <w:numPr>
        <w:numId w:val="12"/>
      </w:numPr>
      <w:tabs>
        <w:tab w:val="clear" w:pos="340"/>
      </w:tabs>
      <w:spacing w:before="40" w:after="40"/>
    </w:pPr>
  </w:style>
  <w:style w:type="character" w:customStyle="1" w:styleId="SpecialBold">
    <w:name w:val="Special Bold"/>
    <w:basedOn w:val="DefaultParagraphFont"/>
    <w:rsid w:val="00B96981"/>
    <w:rPr>
      <w:b/>
      <w:spacing w:val="0"/>
    </w:rPr>
  </w:style>
  <w:style w:type="paragraph" w:styleId="ListBullet2">
    <w:name w:val="List Bullet 2"/>
    <w:basedOn w:val="List2"/>
    <w:rsid w:val="00B96981"/>
    <w:pPr>
      <w:numPr>
        <w:numId w:val="13"/>
      </w:numPr>
      <w:tabs>
        <w:tab w:val="clear" w:pos="680"/>
      </w:tabs>
    </w:pPr>
  </w:style>
  <w:style w:type="character" w:styleId="Emphasis">
    <w:name w:val="Emphasis"/>
    <w:basedOn w:val="DefaultParagraphFont"/>
    <w:qFormat/>
    <w:rsid w:val="00B96981"/>
    <w:rPr>
      <w:i/>
    </w:rPr>
  </w:style>
  <w:style w:type="paragraph" w:customStyle="1" w:styleId="SuperHeading">
    <w:name w:val="SuperHeading"/>
    <w:basedOn w:val="Normal"/>
    <w:rsid w:val="00B96981"/>
    <w:pPr>
      <w:spacing w:before="240" w:after="120"/>
      <w:outlineLvl w:val="0"/>
    </w:pPr>
    <w:rPr>
      <w:rFonts w:ascii="Times New Roman" w:hAnsi="Times New Roman"/>
      <w:b/>
      <w:sz w:val="32"/>
    </w:rPr>
  </w:style>
  <w:style w:type="paragraph" w:customStyle="1" w:styleId="AllowPageBreak">
    <w:name w:val="AllowPageBreak"/>
    <w:rsid w:val="00B96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981"/>
    <w:rPr>
      <w:rFonts w:ascii="Courier New" w:eastAsia="Times New Roman" w:hAnsi="Courier New" w:cs="Times New Roman"/>
      <w:i/>
      <w:szCs w:val="20"/>
      <w:lang w:eastAsia="en-US"/>
    </w:rPr>
  </w:style>
  <w:style w:type="paragraph" w:customStyle="1" w:styleId="HeadingBase">
    <w:name w:val="Heading Base"/>
    <w:rsid w:val="00B96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981"/>
    <w:pPr>
      <w:tabs>
        <w:tab w:val="right" w:leader="dot" w:pos="9072"/>
      </w:tabs>
      <w:ind w:left="567"/>
    </w:pPr>
    <w:rPr>
      <w:szCs w:val="22"/>
    </w:rPr>
  </w:style>
  <w:style w:type="paragraph" w:customStyle="1" w:styleId="TOCBase">
    <w:name w:val="TOC Base"/>
    <w:rsid w:val="00B96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981"/>
    <w:pPr>
      <w:tabs>
        <w:tab w:val="right" w:leader="dot" w:pos="9072"/>
      </w:tabs>
      <w:spacing w:before="40" w:after="40"/>
      <w:ind w:left="284"/>
    </w:pPr>
    <w:rPr>
      <w:rFonts w:ascii="Times New Roman" w:hAnsi="Times New Roman"/>
    </w:rPr>
  </w:style>
  <w:style w:type="paragraph" w:styleId="TOC1">
    <w:name w:val="toc 1"/>
    <w:basedOn w:val="TOCBase"/>
    <w:next w:val="Normal"/>
    <w:rsid w:val="00B96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981"/>
    <w:rPr>
      <w:rFonts w:ascii="Times New Roman" w:eastAsia="Times New Roman" w:hAnsi="Times New Roman" w:cs="Times New Roman"/>
      <w:sz w:val="16"/>
      <w:lang w:eastAsia="en-US"/>
    </w:rPr>
  </w:style>
  <w:style w:type="paragraph" w:styleId="Title">
    <w:name w:val="Title"/>
    <w:basedOn w:val="HeadingBase"/>
    <w:link w:val="TitleChar"/>
    <w:qFormat/>
    <w:rsid w:val="00B96981"/>
    <w:pPr>
      <w:spacing w:before="5040"/>
      <w:jc w:val="center"/>
    </w:pPr>
    <w:rPr>
      <w:sz w:val="48"/>
      <w:szCs w:val="72"/>
      <w:lang w:val="en-US"/>
    </w:rPr>
  </w:style>
  <w:style w:type="character" w:customStyle="1" w:styleId="TitleChar">
    <w:name w:val="Title Char"/>
    <w:basedOn w:val="DefaultParagraphFont"/>
    <w:link w:val="Title"/>
    <w:rsid w:val="00B96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981"/>
    <w:pPr>
      <w:tabs>
        <w:tab w:val="left" w:pos="3600"/>
        <w:tab w:val="left" w:pos="3958"/>
      </w:tabs>
    </w:pPr>
  </w:style>
  <w:style w:type="paragraph" w:styleId="List">
    <w:name w:val="List"/>
    <w:basedOn w:val="BodyText"/>
    <w:next w:val="BodyText"/>
    <w:rsid w:val="00B96981"/>
    <w:pPr>
      <w:tabs>
        <w:tab w:val="left" w:pos="340"/>
      </w:tabs>
      <w:spacing w:before="60" w:after="60"/>
      <w:ind w:left="340" w:hanging="340"/>
    </w:pPr>
  </w:style>
  <w:style w:type="paragraph" w:customStyle="1" w:styleId="Note">
    <w:name w:val="Note"/>
    <w:basedOn w:val="BodyText"/>
    <w:rsid w:val="00B96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981"/>
    <w:pPr>
      <w:framePr w:wrap="auto" w:hAnchor="text" w:y="6049"/>
    </w:pPr>
    <w:rPr>
      <w:color w:val="000000"/>
      <w:sz w:val="40"/>
    </w:rPr>
  </w:style>
  <w:style w:type="paragraph" w:customStyle="1" w:styleId="TOCTitle">
    <w:name w:val="TOCTitle"/>
    <w:basedOn w:val="Heading1"/>
    <w:rsid w:val="00B96981"/>
    <w:pPr>
      <w:spacing w:after="240"/>
      <w:jc w:val="center"/>
      <w:outlineLvl w:val="9"/>
    </w:pPr>
    <w:rPr>
      <w:caps/>
    </w:rPr>
  </w:style>
  <w:style w:type="paragraph" w:customStyle="1" w:styleId="Version">
    <w:name w:val="Version"/>
    <w:rsid w:val="00B96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981"/>
    <w:pPr>
      <w:keepNext w:val="0"/>
      <w:tabs>
        <w:tab w:val="right" w:pos="4176"/>
      </w:tabs>
      <w:ind w:left="198" w:hanging="198"/>
    </w:pPr>
    <w:rPr>
      <w:rFonts w:ascii="Garamond" w:hAnsi="Garamond"/>
    </w:rPr>
  </w:style>
  <w:style w:type="paragraph" w:styleId="IndexHeading">
    <w:name w:val="index heading"/>
    <w:basedOn w:val="Normal"/>
    <w:next w:val="Index1"/>
    <w:semiHidden/>
    <w:rsid w:val="00B96981"/>
    <w:pPr>
      <w:spacing w:before="120" w:after="120"/>
    </w:pPr>
    <w:rPr>
      <w:rFonts w:ascii="Arial" w:hAnsi="Arial"/>
      <w:b/>
      <w:color w:val="918585"/>
      <w:sz w:val="24"/>
    </w:rPr>
  </w:style>
  <w:style w:type="paragraph" w:styleId="Header">
    <w:name w:val="header"/>
    <w:basedOn w:val="Normal"/>
    <w:link w:val="HeaderChar"/>
    <w:rsid w:val="00B96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981"/>
    <w:rPr>
      <w:rFonts w:ascii="Times New Roman" w:eastAsia="Times New Roman" w:hAnsi="Times New Roman" w:cs="Times New Roman"/>
      <w:sz w:val="16"/>
      <w:szCs w:val="20"/>
      <w:lang w:val="en-GB" w:eastAsia="en-US"/>
    </w:rPr>
  </w:style>
  <w:style w:type="paragraph" w:customStyle="1" w:styleId="Chapter">
    <w:name w:val="Chapter"/>
    <w:basedOn w:val="Normal"/>
    <w:rsid w:val="00B96981"/>
    <w:pPr>
      <w:spacing w:before="240"/>
    </w:pPr>
    <w:rPr>
      <w:rFonts w:ascii="Times New Roman" w:hAnsi="Times New Roman"/>
      <w:smallCaps/>
      <w:spacing w:val="80"/>
      <w:sz w:val="28"/>
    </w:rPr>
  </w:style>
  <w:style w:type="paragraph" w:customStyle="1" w:styleId="InChapter">
    <w:name w:val="InChapter"/>
    <w:basedOn w:val="Heading3"/>
    <w:rsid w:val="00B96981"/>
    <w:pPr>
      <w:spacing w:after="240"/>
      <w:outlineLvl w:val="9"/>
    </w:pPr>
    <w:rPr>
      <w:noProof/>
    </w:rPr>
  </w:style>
  <w:style w:type="paragraph" w:styleId="Index2">
    <w:name w:val="index 2"/>
    <w:basedOn w:val="Normal"/>
    <w:next w:val="Normal"/>
    <w:semiHidden/>
    <w:rsid w:val="00B96981"/>
    <w:pPr>
      <w:tabs>
        <w:tab w:val="right" w:pos="4176"/>
      </w:tabs>
      <w:ind w:left="568" w:hanging="284"/>
    </w:pPr>
    <w:rPr>
      <w:rFonts w:ascii="Garamond" w:hAnsi="Garamond"/>
    </w:rPr>
  </w:style>
  <w:style w:type="paragraph" w:customStyle="1" w:styleId="Byline">
    <w:name w:val="Byline"/>
    <w:rsid w:val="00B96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981"/>
    <w:pPr>
      <w:tabs>
        <w:tab w:val="clear" w:pos="3600"/>
        <w:tab w:val="clear" w:pos="3958"/>
      </w:tabs>
      <w:jc w:val="right"/>
    </w:pPr>
  </w:style>
  <w:style w:type="paragraph" w:styleId="Caption">
    <w:name w:val="caption"/>
    <w:basedOn w:val="BodyText"/>
    <w:next w:val="Normal"/>
    <w:qFormat/>
    <w:rsid w:val="00B96981"/>
    <w:pPr>
      <w:framePr w:w="2268" w:hSpace="181" w:vSpace="181" w:wrap="around" w:vAnchor="text" w:hAnchor="page" w:x="1135" w:y="285" w:anchorLock="1"/>
    </w:pPr>
    <w:rPr>
      <w:i/>
    </w:rPr>
  </w:style>
  <w:style w:type="paragraph" w:customStyle="1" w:styleId="MiniTOCTitle">
    <w:name w:val="MiniTOCTitle"/>
    <w:basedOn w:val="Heading4"/>
    <w:rsid w:val="00B96981"/>
    <w:pPr>
      <w:spacing w:before="240"/>
      <w:outlineLvl w:val="9"/>
    </w:pPr>
    <w:rPr>
      <w:noProof/>
      <w:sz w:val="24"/>
    </w:rPr>
  </w:style>
  <w:style w:type="paragraph" w:customStyle="1" w:styleId="MiniTOCItem">
    <w:name w:val="MiniTOCItem"/>
    <w:basedOn w:val="ListBullet"/>
    <w:rsid w:val="00B96981"/>
    <w:pPr>
      <w:numPr>
        <w:numId w:val="0"/>
      </w:numPr>
      <w:tabs>
        <w:tab w:val="right" w:leader="dot" w:pos="6521"/>
      </w:tabs>
      <w:spacing w:before="0" w:after="0"/>
    </w:pPr>
  </w:style>
  <w:style w:type="paragraph" w:customStyle="1" w:styleId="TOFTitle">
    <w:name w:val="TOFTitle"/>
    <w:basedOn w:val="TOCTitle"/>
    <w:rsid w:val="00B96981"/>
  </w:style>
  <w:style w:type="paragraph" w:styleId="TableofFigures">
    <w:name w:val="table of figures"/>
    <w:basedOn w:val="Normal"/>
    <w:next w:val="Normal"/>
    <w:semiHidden/>
    <w:rsid w:val="00B96981"/>
    <w:pPr>
      <w:tabs>
        <w:tab w:val="right" w:leader="dot" w:pos="9072"/>
      </w:tabs>
      <w:ind w:left="970" w:hanging="403"/>
    </w:pPr>
    <w:rPr>
      <w:rFonts w:ascii="Times New Roman" w:hAnsi="Times New Roman"/>
      <w:b/>
    </w:rPr>
  </w:style>
  <w:style w:type="paragraph" w:styleId="ListNumber">
    <w:name w:val="List Number"/>
    <w:basedOn w:val="List"/>
    <w:rsid w:val="00B96981"/>
    <w:pPr>
      <w:numPr>
        <w:numId w:val="15"/>
      </w:numPr>
      <w:tabs>
        <w:tab w:val="clear" w:pos="340"/>
      </w:tabs>
    </w:pPr>
  </w:style>
  <w:style w:type="character" w:customStyle="1" w:styleId="WingdingSymbols">
    <w:name w:val="Wingding Symbols"/>
    <w:rsid w:val="00B96981"/>
    <w:rPr>
      <w:rFonts w:ascii="Wingdings" w:hAnsi="Wingdings"/>
    </w:rPr>
  </w:style>
  <w:style w:type="paragraph" w:customStyle="1" w:styleId="TableHeading">
    <w:name w:val="Table Heading"/>
    <w:basedOn w:val="HeadingBase"/>
    <w:rsid w:val="00B96981"/>
    <w:pPr>
      <w:keepLines/>
      <w:pBdr>
        <w:bottom w:val="single" w:sz="6" w:space="1" w:color="918585"/>
      </w:pBdr>
      <w:spacing w:before="240"/>
    </w:pPr>
  </w:style>
  <w:style w:type="character" w:customStyle="1" w:styleId="HotSpot">
    <w:name w:val="HotSpot"/>
    <w:rsid w:val="00B96981"/>
    <w:rPr>
      <w:color w:val="0033CC"/>
      <w:u w:val="none"/>
    </w:rPr>
  </w:style>
  <w:style w:type="paragraph" w:customStyle="1" w:styleId="BodyTextRight">
    <w:name w:val="Body Text Right"/>
    <w:basedOn w:val="BodyText"/>
    <w:rsid w:val="00B96981"/>
    <w:pPr>
      <w:spacing w:before="0" w:after="0"/>
      <w:jc w:val="right"/>
    </w:pPr>
  </w:style>
  <w:style w:type="paragraph" w:styleId="Index3">
    <w:name w:val="index 3"/>
    <w:basedOn w:val="ListNumber2"/>
    <w:next w:val="Normal"/>
    <w:semiHidden/>
    <w:rsid w:val="00B96981"/>
    <w:pPr>
      <w:numPr>
        <w:numId w:val="0"/>
      </w:numPr>
      <w:tabs>
        <w:tab w:val="right" w:leader="dot" w:pos="4176"/>
      </w:tabs>
    </w:pPr>
  </w:style>
  <w:style w:type="paragraph" w:styleId="ListNumber2">
    <w:name w:val="List Number 2"/>
    <w:basedOn w:val="List2"/>
    <w:rsid w:val="00B96981"/>
    <w:pPr>
      <w:numPr>
        <w:numId w:val="10"/>
      </w:numPr>
      <w:tabs>
        <w:tab w:val="clear" w:pos="1060"/>
      </w:tabs>
    </w:pPr>
  </w:style>
  <w:style w:type="paragraph" w:customStyle="1" w:styleId="MarginNote">
    <w:name w:val="Margin Note"/>
    <w:basedOn w:val="BodyText"/>
    <w:rsid w:val="00B96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981"/>
    <w:rPr>
      <w:sz w:val="32"/>
    </w:rPr>
  </w:style>
  <w:style w:type="paragraph" w:customStyle="1" w:styleId="HeadingProcedure">
    <w:name w:val="Heading Procedure"/>
    <w:basedOn w:val="HeadingBase"/>
    <w:next w:val="Normal"/>
    <w:rsid w:val="00B96981"/>
    <w:pPr>
      <w:tabs>
        <w:tab w:val="left" w:pos="0"/>
      </w:tabs>
      <w:spacing w:before="120" w:after="60"/>
    </w:pPr>
    <w:rPr>
      <w:i/>
      <w:color w:val="918585"/>
      <w:sz w:val="22"/>
    </w:rPr>
  </w:style>
  <w:style w:type="paragraph" w:customStyle="1" w:styleId="TableBodyText">
    <w:name w:val="Table Body Text"/>
    <w:basedOn w:val="BodyText"/>
    <w:rsid w:val="00B96981"/>
    <w:pPr>
      <w:spacing w:before="60" w:after="60"/>
    </w:pPr>
  </w:style>
  <w:style w:type="paragraph" w:styleId="ListContinue">
    <w:name w:val="List Continue"/>
    <w:basedOn w:val="List"/>
    <w:rsid w:val="00B96981"/>
    <w:pPr>
      <w:ind w:firstLine="0"/>
    </w:pPr>
  </w:style>
  <w:style w:type="paragraph" w:customStyle="1" w:styleId="ListNote">
    <w:name w:val="List Note"/>
    <w:basedOn w:val="List"/>
    <w:rsid w:val="00B96981"/>
    <w:pPr>
      <w:pBdr>
        <w:top w:val="single" w:sz="6" w:space="2" w:color="918585"/>
        <w:bottom w:val="single" w:sz="6" w:space="2" w:color="918585"/>
      </w:pBdr>
      <w:tabs>
        <w:tab w:val="left" w:pos="1021"/>
      </w:tabs>
      <w:ind w:firstLine="0"/>
    </w:pPr>
  </w:style>
  <w:style w:type="paragraph" w:customStyle="1" w:styleId="Warning">
    <w:name w:val="Warning"/>
    <w:basedOn w:val="BodyText"/>
    <w:rsid w:val="00B96981"/>
    <w:pPr>
      <w:shd w:val="clear" w:color="auto" w:fill="D9D9D9"/>
      <w:tabs>
        <w:tab w:val="left" w:pos="992"/>
      </w:tabs>
      <w:ind w:left="119" w:right="119"/>
    </w:pPr>
    <w:rPr>
      <w:sz w:val="20"/>
    </w:rPr>
  </w:style>
  <w:style w:type="paragraph" w:customStyle="1" w:styleId="MarginIcons">
    <w:name w:val="Margin Icons"/>
    <w:basedOn w:val="BodyText"/>
    <w:rsid w:val="00B96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981"/>
    <w:rPr>
      <w:rFonts w:ascii="Courier New" w:hAnsi="Courier New"/>
    </w:rPr>
  </w:style>
  <w:style w:type="paragraph" w:customStyle="1" w:styleId="NoteBullet">
    <w:name w:val="Note Bullet"/>
    <w:basedOn w:val="Note"/>
    <w:rsid w:val="00B96981"/>
    <w:pPr>
      <w:tabs>
        <w:tab w:val="clear" w:pos="680"/>
      </w:tabs>
      <w:spacing w:before="60" w:after="60"/>
    </w:pPr>
  </w:style>
  <w:style w:type="paragraph" w:customStyle="1" w:styleId="SubHeading2">
    <w:name w:val="SubHeading2"/>
    <w:basedOn w:val="HeadingBase"/>
    <w:rsid w:val="00B96981"/>
    <w:pPr>
      <w:spacing w:before="240" w:after="60"/>
    </w:pPr>
    <w:rPr>
      <w:sz w:val="20"/>
    </w:rPr>
  </w:style>
  <w:style w:type="paragraph" w:customStyle="1" w:styleId="SubHeading1">
    <w:name w:val="SubHeading1"/>
    <w:basedOn w:val="HeadingBase"/>
    <w:rsid w:val="00B96981"/>
    <w:pPr>
      <w:spacing w:before="240" w:after="60"/>
    </w:pPr>
    <w:rPr>
      <w:color w:val="918585"/>
      <w:sz w:val="22"/>
    </w:rPr>
  </w:style>
  <w:style w:type="paragraph" w:customStyle="1" w:styleId="SideHeading">
    <w:name w:val="Side Heading"/>
    <w:basedOn w:val="HeadingBase"/>
    <w:rsid w:val="00B96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981"/>
    <w:pPr>
      <w:tabs>
        <w:tab w:val="num" w:pos="360"/>
      </w:tabs>
    </w:pPr>
  </w:style>
  <w:style w:type="paragraph" w:styleId="PlainText">
    <w:name w:val="Plain Text"/>
    <w:basedOn w:val="Normal"/>
    <w:link w:val="PlainTextChar"/>
    <w:rsid w:val="00B96981"/>
    <w:rPr>
      <w:sz w:val="20"/>
    </w:rPr>
  </w:style>
  <w:style w:type="character" w:customStyle="1" w:styleId="PlainTextChar">
    <w:name w:val="Plain Text Char"/>
    <w:basedOn w:val="DefaultParagraphFont"/>
    <w:link w:val="PlainText"/>
    <w:rsid w:val="00B96981"/>
    <w:rPr>
      <w:rFonts w:ascii="Courier New" w:eastAsia="Times New Roman" w:hAnsi="Courier New" w:cs="Times New Roman"/>
      <w:sz w:val="20"/>
      <w:szCs w:val="20"/>
      <w:lang w:eastAsia="en-US"/>
    </w:rPr>
  </w:style>
  <w:style w:type="character" w:customStyle="1" w:styleId="MenuOption">
    <w:name w:val="Menu Option"/>
    <w:basedOn w:val="DefaultParagraphFont"/>
    <w:rsid w:val="00B96981"/>
    <w:rPr>
      <w:b/>
      <w:smallCaps/>
    </w:rPr>
  </w:style>
  <w:style w:type="paragraph" w:customStyle="1" w:styleId="TableListNumber">
    <w:name w:val="Table List Number"/>
    <w:basedOn w:val="ListNumber"/>
    <w:rsid w:val="00B96981"/>
    <w:pPr>
      <w:numPr>
        <w:numId w:val="0"/>
      </w:numPr>
    </w:pPr>
  </w:style>
  <w:style w:type="paragraph" w:styleId="TOC4">
    <w:name w:val="toc 4"/>
    <w:basedOn w:val="TOCBase"/>
    <w:next w:val="Normal"/>
    <w:semiHidden/>
    <w:rsid w:val="00B96981"/>
    <w:pPr>
      <w:tabs>
        <w:tab w:val="right" w:leader="dot" w:pos="9071"/>
      </w:tabs>
      <w:ind w:left="1701"/>
    </w:pPr>
  </w:style>
  <w:style w:type="paragraph" w:customStyle="1" w:styleId="ListAlpha">
    <w:name w:val="List Alpha"/>
    <w:basedOn w:val="List"/>
    <w:rsid w:val="00B96981"/>
    <w:pPr>
      <w:numPr>
        <w:numId w:val="9"/>
      </w:numPr>
    </w:pPr>
  </w:style>
  <w:style w:type="paragraph" w:customStyle="1" w:styleId="ListAlpha2">
    <w:name w:val="List Alpha 2"/>
    <w:basedOn w:val="List2"/>
    <w:rsid w:val="00B96981"/>
    <w:pPr>
      <w:numPr>
        <w:numId w:val="8"/>
      </w:numPr>
    </w:pPr>
  </w:style>
  <w:style w:type="paragraph" w:styleId="List2">
    <w:name w:val="List 2"/>
    <w:basedOn w:val="BodyText"/>
    <w:rsid w:val="00B96981"/>
    <w:pPr>
      <w:tabs>
        <w:tab w:val="left" w:pos="680"/>
      </w:tabs>
      <w:spacing w:before="60" w:after="60"/>
      <w:ind w:left="680" w:hanging="340"/>
    </w:pPr>
  </w:style>
  <w:style w:type="paragraph" w:styleId="List3">
    <w:name w:val="List 3"/>
    <w:basedOn w:val="BodyText"/>
    <w:rsid w:val="00B96981"/>
    <w:pPr>
      <w:tabs>
        <w:tab w:val="left" w:pos="1021"/>
      </w:tabs>
      <w:spacing w:before="60" w:after="60"/>
      <w:ind w:left="1020" w:hanging="340"/>
    </w:pPr>
  </w:style>
  <w:style w:type="paragraph" w:styleId="List4">
    <w:name w:val="List 4"/>
    <w:basedOn w:val="BodyText"/>
    <w:rsid w:val="00B96981"/>
    <w:pPr>
      <w:tabs>
        <w:tab w:val="left" w:pos="1361"/>
      </w:tabs>
      <w:spacing w:before="60" w:after="60"/>
      <w:ind w:left="1361" w:hanging="340"/>
    </w:pPr>
  </w:style>
  <w:style w:type="paragraph" w:styleId="List5">
    <w:name w:val="List 5"/>
    <w:basedOn w:val="BodyText"/>
    <w:rsid w:val="00B96981"/>
    <w:pPr>
      <w:tabs>
        <w:tab w:val="left" w:pos="1701"/>
      </w:tabs>
      <w:spacing w:before="60" w:after="60"/>
      <w:ind w:left="1701" w:hanging="340"/>
    </w:pPr>
  </w:style>
  <w:style w:type="paragraph" w:styleId="ListBullet3">
    <w:name w:val="List Bullet 3"/>
    <w:basedOn w:val="List3"/>
    <w:rsid w:val="00B96981"/>
    <w:pPr>
      <w:numPr>
        <w:numId w:val="14"/>
      </w:numPr>
      <w:tabs>
        <w:tab w:val="clear" w:pos="1021"/>
      </w:tabs>
      <w:ind w:left="1037" w:hanging="357"/>
    </w:pPr>
  </w:style>
  <w:style w:type="paragraph" w:styleId="ListBullet4">
    <w:name w:val="List Bullet 4"/>
    <w:basedOn w:val="List4"/>
    <w:rsid w:val="00B96981"/>
    <w:pPr>
      <w:numPr>
        <w:numId w:val="3"/>
      </w:numPr>
      <w:tabs>
        <w:tab w:val="clear" w:pos="1361"/>
      </w:tabs>
    </w:pPr>
  </w:style>
  <w:style w:type="paragraph" w:styleId="ListBullet5">
    <w:name w:val="List Bullet 5"/>
    <w:basedOn w:val="List5"/>
    <w:rsid w:val="00B96981"/>
    <w:pPr>
      <w:numPr>
        <w:numId w:val="4"/>
      </w:numPr>
    </w:pPr>
  </w:style>
  <w:style w:type="paragraph" w:styleId="ListContinue2">
    <w:name w:val="List Continue 2"/>
    <w:basedOn w:val="List2"/>
    <w:rsid w:val="00B96981"/>
    <w:pPr>
      <w:ind w:firstLine="0"/>
    </w:pPr>
  </w:style>
  <w:style w:type="paragraph" w:styleId="ListContinue3">
    <w:name w:val="List Continue 3"/>
    <w:basedOn w:val="List3"/>
    <w:rsid w:val="00B96981"/>
    <w:pPr>
      <w:ind w:left="1021" w:firstLine="0"/>
    </w:pPr>
  </w:style>
  <w:style w:type="paragraph" w:styleId="ListContinue4">
    <w:name w:val="List Continue 4"/>
    <w:basedOn w:val="List4"/>
    <w:rsid w:val="00B96981"/>
    <w:pPr>
      <w:ind w:firstLine="0"/>
    </w:pPr>
  </w:style>
  <w:style w:type="paragraph" w:styleId="ListContinue5">
    <w:name w:val="List Continue 5"/>
    <w:basedOn w:val="List5"/>
    <w:rsid w:val="00B96981"/>
    <w:pPr>
      <w:ind w:firstLine="0"/>
    </w:pPr>
  </w:style>
  <w:style w:type="paragraph" w:styleId="ListNumber3">
    <w:name w:val="List Number 3"/>
    <w:basedOn w:val="List3"/>
    <w:rsid w:val="00B96981"/>
    <w:pPr>
      <w:numPr>
        <w:numId w:val="5"/>
      </w:numPr>
    </w:pPr>
  </w:style>
  <w:style w:type="paragraph" w:styleId="ListNumber4">
    <w:name w:val="List Number 4"/>
    <w:basedOn w:val="List4"/>
    <w:rsid w:val="00B96981"/>
    <w:pPr>
      <w:numPr>
        <w:numId w:val="6"/>
      </w:numPr>
    </w:pPr>
  </w:style>
  <w:style w:type="paragraph" w:styleId="ListNumber5">
    <w:name w:val="List Number 5"/>
    <w:basedOn w:val="List5"/>
    <w:rsid w:val="00B96981"/>
    <w:pPr>
      <w:numPr>
        <w:numId w:val="7"/>
      </w:numPr>
    </w:pPr>
  </w:style>
  <w:style w:type="paragraph" w:styleId="BlockText">
    <w:name w:val="Block Text"/>
    <w:basedOn w:val="Normal"/>
    <w:rsid w:val="00B96981"/>
    <w:pPr>
      <w:spacing w:after="120"/>
      <w:ind w:left="1440" w:right="1440"/>
    </w:pPr>
  </w:style>
  <w:style w:type="character" w:customStyle="1" w:styleId="Subscript">
    <w:name w:val="Subscript"/>
    <w:basedOn w:val="DefaultParagraphFont"/>
    <w:rsid w:val="00B96981"/>
    <w:rPr>
      <w:sz w:val="16"/>
      <w:vertAlign w:val="subscript"/>
    </w:rPr>
  </w:style>
  <w:style w:type="character" w:customStyle="1" w:styleId="Superscript">
    <w:name w:val="Superscript"/>
    <w:basedOn w:val="DefaultParagraphFont"/>
    <w:rsid w:val="00B96981"/>
    <w:rPr>
      <w:sz w:val="16"/>
      <w:vertAlign w:val="superscript"/>
    </w:rPr>
  </w:style>
  <w:style w:type="character" w:customStyle="1" w:styleId="Symbols">
    <w:name w:val="Symbols"/>
    <w:basedOn w:val="DefaultParagraphFont"/>
    <w:rsid w:val="00B96981"/>
    <w:rPr>
      <w:rFonts w:ascii="Symbol" w:hAnsi="Symbol"/>
    </w:rPr>
  </w:style>
  <w:style w:type="character" w:customStyle="1" w:styleId="MenuOptions">
    <w:name w:val="Menu Options"/>
    <w:basedOn w:val="DefaultParagraphFont"/>
    <w:rsid w:val="00B96981"/>
    <w:rPr>
      <w:rFonts w:ascii="Arial Narrow" w:hAnsi="Arial Narrow"/>
      <w:smallCaps/>
    </w:rPr>
  </w:style>
  <w:style w:type="character" w:customStyle="1" w:styleId="Buttons">
    <w:name w:val="Buttons"/>
    <w:basedOn w:val="DefaultParagraphFont"/>
    <w:rsid w:val="00B96981"/>
    <w:rPr>
      <w:b/>
    </w:rPr>
  </w:style>
  <w:style w:type="character" w:customStyle="1" w:styleId="Underlined">
    <w:name w:val="Underlined"/>
    <w:basedOn w:val="DefaultParagraphFont"/>
    <w:rsid w:val="00B96981"/>
    <w:rPr>
      <w:u w:val="single"/>
    </w:rPr>
  </w:style>
  <w:style w:type="paragraph" w:customStyle="1" w:styleId="TableBodyTextRight">
    <w:name w:val="Table Body Text Right"/>
    <w:basedOn w:val="TableBodyText"/>
    <w:rsid w:val="00B96981"/>
    <w:pPr>
      <w:widowControl w:val="0"/>
      <w:autoSpaceDE w:val="0"/>
      <w:autoSpaceDN w:val="0"/>
      <w:adjustRightInd w:val="0"/>
      <w:jc w:val="right"/>
    </w:pPr>
    <w:rPr>
      <w:rFonts w:cs="Arial"/>
      <w:szCs w:val="18"/>
    </w:rPr>
  </w:style>
  <w:style w:type="paragraph" w:customStyle="1" w:styleId="CopyrightText">
    <w:name w:val="Copyright Text"/>
    <w:basedOn w:val="BodyText"/>
    <w:rsid w:val="00B96981"/>
    <w:rPr>
      <w:sz w:val="18"/>
    </w:rPr>
  </w:style>
  <w:style w:type="paragraph" w:customStyle="1" w:styleId="BodySmallRight">
    <w:name w:val="Body Small Right"/>
    <w:basedOn w:val="BodyTextRight"/>
    <w:rsid w:val="00B96981"/>
    <w:rPr>
      <w:sz w:val="18"/>
      <w:szCs w:val="18"/>
    </w:rPr>
  </w:style>
  <w:style w:type="paragraph" w:customStyle="1" w:styleId="MarginEdition">
    <w:name w:val="Margin Edition"/>
    <w:basedOn w:val="MarginNote"/>
    <w:rsid w:val="00B96981"/>
    <w:pPr>
      <w:spacing w:before="0" w:after="0"/>
    </w:pPr>
    <w:rPr>
      <w:rFonts w:ascii="Times New Roman" w:hAnsi="Times New Roman"/>
      <w:color w:val="999999"/>
    </w:rPr>
  </w:style>
  <w:style w:type="paragraph" w:customStyle="1" w:styleId="Spacer">
    <w:name w:val="Spacer"/>
    <w:basedOn w:val="Normal"/>
    <w:rsid w:val="00B96981"/>
    <w:rPr>
      <w:sz w:val="2"/>
      <w:szCs w:val="2"/>
    </w:rPr>
  </w:style>
  <w:style w:type="character" w:customStyle="1" w:styleId="Small">
    <w:name w:val="Small"/>
    <w:basedOn w:val="DefaultParagraphFont"/>
    <w:rsid w:val="00B96981"/>
    <w:rPr>
      <w:sz w:val="16"/>
    </w:rPr>
  </w:style>
  <w:style w:type="paragraph" w:customStyle="1" w:styleId="WideTable">
    <w:name w:val="Wide Table"/>
    <w:basedOn w:val="Normal"/>
    <w:rsid w:val="00B96981"/>
    <w:pPr>
      <w:ind w:left="-1418"/>
    </w:pPr>
    <w:rPr>
      <w:sz w:val="2"/>
      <w:szCs w:val="2"/>
    </w:rPr>
  </w:style>
  <w:style w:type="character" w:styleId="PageNumber">
    <w:name w:val="page number"/>
    <w:basedOn w:val="DefaultParagraphFont"/>
    <w:rsid w:val="00B96981"/>
  </w:style>
  <w:style w:type="paragraph" w:styleId="Quote">
    <w:name w:val="Quote"/>
    <w:basedOn w:val="Heading1"/>
    <w:link w:val="QuoteChar"/>
    <w:qFormat/>
    <w:rsid w:val="00B96981"/>
    <w:rPr>
      <w:b w:val="0"/>
      <w:sz w:val="72"/>
      <w:szCs w:val="72"/>
      <w:lang w:val="en-NZ"/>
    </w:rPr>
  </w:style>
  <w:style w:type="character" w:customStyle="1" w:styleId="QuoteChar">
    <w:name w:val="Quote Char"/>
    <w:basedOn w:val="DefaultParagraphFont"/>
    <w:link w:val="Quote"/>
    <w:rsid w:val="00B96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981"/>
    <w:pPr>
      <w:pageBreakBefore/>
    </w:pPr>
  </w:style>
  <w:style w:type="paragraph" w:customStyle="1" w:styleId="Border">
    <w:name w:val="Border"/>
    <w:basedOn w:val="Normal"/>
    <w:qFormat/>
    <w:rsid w:val="00B96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981"/>
    <w:rPr>
      <w:b/>
      <w:bCs/>
      <w:i/>
      <w:iCs/>
      <w:color w:val="auto"/>
    </w:rPr>
  </w:style>
  <w:style w:type="paragraph" w:styleId="IntenseQuote">
    <w:name w:val="Intense Quote"/>
    <w:basedOn w:val="Normal"/>
    <w:next w:val="Normal"/>
    <w:link w:val="IntenseQuoteChar"/>
    <w:uiPriority w:val="30"/>
    <w:qFormat/>
    <w:rsid w:val="00B96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981"/>
    <w:rPr>
      <w:smallCaps/>
      <w:color w:val="auto"/>
      <w:u w:val="single"/>
    </w:rPr>
  </w:style>
  <w:style w:type="character" w:styleId="IntenseReference">
    <w:name w:val="Intense Reference"/>
    <w:basedOn w:val="DefaultParagraphFont"/>
    <w:uiPriority w:val="32"/>
    <w:qFormat/>
    <w:rsid w:val="00B96981"/>
    <w:rPr>
      <w:b/>
      <w:bCs/>
      <w:smallCaps/>
      <w:color w:val="auto"/>
      <w:spacing w:val="5"/>
      <w:u w:val="single"/>
    </w:rPr>
  </w:style>
  <w:style w:type="paragraph" w:customStyle="1" w:styleId="2ColumnHeading">
    <w:name w:val="2Column Heading"/>
    <w:basedOn w:val="BodyText"/>
    <w:qFormat/>
    <w:rsid w:val="00B96981"/>
    <w:pPr>
      <w:spacing w:after="60"/>
      <w:ind w:left="-2268"/>
    </w:pPr>
    <w:rPr>
      <w:b/>
    </w:rPr>
  </w:style>
  <w:style w:type="paragraph" w:customStyle="1" w:styleId="Heading1TOC">
    <w:name w:val="Heading1 TOC"/>
    <w:basedOn w:val="Normal"/>
    <w:qFormat/>
    <w:rsid w:val="00B96981"/>
    <w:pPr>
      <w:spacing w:before="240" w:after="120"/>
    </w:pPr>
    <w:rPr>
      <w:rFonts w:ascii="Times New Roman" w:hAnsi="Times New Roman"/>
      <w:b/>
      <w:sz w:val="32"/>
    </w:rPr>
  </w:style>
  <w:style w:type="paragraph" w:customStyle="1" w:styleId="Heading2TOC">
    <w:name w:val="Heading2 TOC"/>
    <w:basedOn w:val="Normal"/>
    <w:qFormat/>
    <w:rsid w:val="00B96981"/>
    <w:pPr>
      <w:spacing w:before="240" w:after="60"/>
    </w:pPr>
    <w:rPr>
      <w:rFonts w:ascii="Times New Roman" w:hAnsi="Times New Roman"/>
      <w:b/>
      <w:sz w:val="28"/>
    </w:rPr>
  </w:style>
  <w:style w:type="character" w:customStyle="1" w:styleId="Underline">
    <w:name w:val="Underline"/>
    <w:basedOn w:val="DefaultParagraphFont"/>
    <w:qFormat/>
    <w:rsid w:val="00B96981"/>
    <w:rPr>
      <w:u w:val="single"/>
    </w:rPr>
  </w:style>
  <w:style w:type="character" w:customStyle="1" w:styleId="BoldandItalics">
    <w:name w:val="Bold and Italics"/>
    <w:qFormat/>
    <w:rsid w:val="00B96981"/>
    <w:rPr>
      <w:b/>
      <w:i/>
      <w:u w:val="none"/>
    </w:rPr>
  </w:style>
  <w:style w:type="paragraph" w:styleId="BalloonText">
    <w:name w:val="Balloon Text"/>
    <w:basedOn w:val="Normal"/>
    <w:link w:val="BalloonTextChar"/>
    <w:rsid w:val="00B96981"/>
    <w:rPr>
      <w:rFonts w:ascii="Tahoma" w:hAnsi="Tahoma" w:cs="Tahoma"/>
      <w:sz w:val="16"/>
      <w:szCs w:val="16"/>
    </w:rPr>
  </w:style>
  <w:style w:type="character" w:customStyle="1" w:styleId="BalloonTextChar">
    <w:name w:val="Balloon Text Char"/>
    <w:basedOn w:val="DefaultParagraphFont"/>
    <w:link w:val="BalloonText"/>
    <w:rsid w:val="00B96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981"/>
    <w:rPr>
      <w:b/>
      <w:color w:val="660033"/>
      <w:spacing w:val="0"/>
    </w:rPr>
  </w:style>
  <w:style w:type="paragraph" w:customStyle="1" w:styleId="Nameditemlist">
    <w:name w:val="Named item list"/>
    <w:basedOn w:val="BodyText"/>
    <w:qFormat/>
    <w:rsid w:val="00B96981"/>
    <w:pPr>
      <w:tabs>
        <w:tab w:val="left" w:pos="2835"/>
      </w:tabs>
      <w:ind w:left="2835" w:hanging="2835"/>
    </w:pPr>
  </w:style>
  <w:style w:type="paragraph" w:customStyle="1" w:styleId="BodyTextnopadding">
    <w:name w:val="Body Text no padding"/>
    <w:basedOn w:val="BodyText"/>
    <w:qFormat/>
    <w:rsid w:val="00B96981"/>
    <w:pPr>
      <w:spacing w:before="0" w:after="0"/>
    </w:pPr>
  </w:style>
  <w:style w:type="paragraph" w:customStyle="1" w:styleId="BodyTextBold">
    <w:name w:val="Body Text Bold"/>
    <w:basedOn w:val="BodyText"/>
    <w:qFormat/>
    <w:rsid w:val="00B96981"/>
    <w:rPr>
      <w:b/>
    </w:rPr>
  </w:style>
  <w:style w:type="character" w:styleId="Hyperlink">
    <w:name w:val="Hyperlink"/>
    <w:basedOn w:val="DefaultParagraphFont"/>
    <w:uiPriority w:val="99"/>
    <w:unhideWhenUsed/>
    <w:rsid w:val="00744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8182</Characters>
  <Application>Microsoft Office Word</Application>
  <DocSecurity>0</DocSecurity>
  <Lines>263</Lines>
  <Paragraphs>168</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HLTANA001 Prepare clients for anaesthesia</dc:title>
  <dc:subject>Approved</dc:subject>
  <dc:creator>HumanAbility</dc:creator>
  <cp:keywords>Release: 2</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