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42F" w:rsidP="00F0642F">
      <w:pPr>
        <w:pStyle w:val="Title"/>
      </w:pPr>
      <w:r>
        <w:fldChar w:fldCharType="begin"/>
      </w:r>
      <w:r>
        <w:instrText xml:space="preserve"> TITLE   \* MERGEFORMAT </w:instrText>
      </w:r>
      <w:r>
        <w:fldChar w:fldCharType="separate"/>
      </w:r>
      <w:r>
        <w:t>Assessment Requirements for HLTANA001 Prepare clients for anaesthesia</w:t>
      </w:r>
      <w:r>
        <w:fldChar w:fldCharType="end"/>
      </w:r>
    </w:p>
    <w:p w:rsidR="00F0642F" w:rsidP="00F0642F">
      <w:pPr>
        <w:pStyle w:val="Version"/>
        <w:sectPr w:rsidSect="00CC1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1021" w:rsidP="00CC1021">
      <w:pPr>
        <w:pStyle w:val="SuperHeading"/>
      </w:pPr>
      <w:r w:rsidRPr="00CC1021">
        <w:t>Assessment Requirements for HLTANA001 Prepare clients for anaesthesia</w:t>
      </w:r>
    </w:p>
    <w:p w:rsidR="00000000" w:rsidRPr="00CC1021" w:rsidP="00CC1021">
      <w:pPr>
        <w:pStyle w:val="Heading1"/>
      </w:pPr>
      <w:bookmarkStart w:id="1" w:name="O_873336"/>
      <w:bookmarkEnd w:id="1"/>
      <w:r w:rsidRPr="00CC1021">
        <w:t>Modification History</w:t>
      </w:r>
    </w:p>
    <w:tbl>
      <w:tblPr>
        <w:tblW w:w="0" w:type="auto"/>
        <w:tblLayout w:type="fixed"/>
        <w:tblCellMar>
          <w:left w:w="62" w:type="dxa"/>
          <w:right w:w="62" w:type="dxa"/>
        </w:tblCellMar>
        <w:tblLook w:val="0000"/>
      </w:tblPr>
      <w:tblGrid>
        <w:gridCol w:w="2790"/>
        <w:gridCol w:w="6344"/>
      </w:tblGrid>
      <w:tr w:rsidTr="00CC10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021" w:rsidP="00CC1021">
            <w:pPr>
              <w:pStyle w:val="BodyText"/>
            </w:pPr>
            <w:r w:rsidRPr="00CC10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021">
            <w:pPr>
              <w:pStyle w:val="BodyText"/>
              <w:rPr>
                <w:lang w:val="en-NZ"/>
              </w:rPr>
            </w:pPr>
            <w:r w:rsidRPr="00CC1021">
              <w:rPr>
                <w:rStyle w:val="SpecialBold"/>
              </w:rPr>
              <w:t>Comments</w:t>
            </w:r>
          </w:p>
        </w:tc>
      </w:tr>
      <w:tr w:rsidTr="00CC1021">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021">
            <w:pPr>
              <w:pStyle w:val="BodyText"/>
              <w:rPr>
                <w:lang w:val="en-NZ"/>
              </w:rPr>
            </w:pPr>
            <w:r w:rsidRPr="00CC102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021" w:rsidP="00CC1021">
            <w:pPr>
              <w:pStyle w:val="BodyText"/>
            </w:pPr>
            <w:r w:rsidRPr="00CC1021">
              <w:t xml:space="preserve">This version was released in </w:t>
            </w:r>
            <w:r w:rsidRPr="00CC1021">
              <w:rPr>
                <w:rStyle w:val="Emphasis"/>
              </w:rPr>
              <w:t>HLT Health Training Package release 3.0.</w:t>
            </w:r>
          </w:p>
          <w:p w:rsidR="00000000" w:rsidP="00CC1021">
            <w:pPr>
              <w:pStyle w:val="BodyText"/>
              <w:rPr>
                <w:lang w:val="en-NZ"/>
              </w:rPr>
            </w:pPr>
            <w:r w:rsidRPr="00CC1021">
              <w:t>Upd</w:t>
            </w:r>
            <w:r w:rsidRPr="00CC1021">
              <w:t>ate to mapping and metadata. Equivalent competency outcome.</w:t>
            </w:r>
          </w:p>
        </w:tc>
      </w:tr>
      <w:tr w:rsidTr="00CC1021">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021">
            <w:pPr>
              <w:pStyle w:val="BodyText"/>
              <w:rPr>
                <w:lang w:val="en-NZ"/>
              </w:rPr>
            </w:pPr>
            <w:r w:rsidRPr="00CC10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021" w:rsidP="00CC1021">
            <w:pPr>
              <w:pStyle w:val="BodyText"/>
            </w:pPr>
            <w:r w:rsidRPr="00CC1021">
              <w:t xml:space="preserve">This version was released in </w:t>
            </w:r>
            <w:r w:rsidRPr="00CC1021">
              <w:rPr>
                <w:rStyle w:val="Emphasis"/>
              </w:rPr>
              <w:t>HLT Health Training Package release 2.0</w:t>
            </w:r>
            <w:r w:rsidRPr="00CC1021">
              <w:t xml:space="preserve"> and meets the requirements of the 2012 Standards for Training Packages.</w:t>
            </w:r>
          </w:p>
          <w:p w:rsidR="00000000" w:rsidRPr="00CC1021" w:rsidP="00CC1021">
            <w:pPr>
              <w:pStyle w:val="BodyText"/>
            </w:pPr>
            <w:r w:rsidRPr="00CC1021">
              <w:t>Supersedes HLTAN402D. Significant changes to</w:t>
            </w:r>
            <w:r w:rsidRPr="00CC1021">
              <w:t xml:space="preserve"> the elements and performance criteria. New evidence requirements for assessment, including volume and frequency requirements. Significant change to knowledge evidence.</w:t>
            </w:r>
          </w:p>
        </w:tc>
      </w:tr>
    </w:tbl>
    <w:p w:rsidR="00F0642F" w:rsidP="00CC1021">
      <w:pPr>
        <w:pStyle w:val="BodyText"/>
      </w:pPr>
    </w:p>
    <w:p w:rsidR="00F0642F" w:rsidP="00CC1021">
      <w:pPr>
        <w:pStyle w:val="BodyText"/>
      </w:pPr>
    </w:p>
    <w:p w:rsidR="00000000" w:rsidRPr="00CC1021" w:rsidP="00CC1021">
      <w:pPr>
        <w:pStyle w:val="Heading1"/>
      </w:pPr>
      <w:bookmarkStart w:id="2" w:name="O_873335"/>
      <w:bookmarkEnd w:id="2"/>
      <w:r w:rsidRPr="00CC1021">
        <w:t>Performance Evidence</w:t>
      </w:r>
    </w:p>
    <w:p w:rsidR="00000000" w:rsidRPr="00CC1021" w:rsidP="00F0642F">
      <w:pPr>
        <w:pStyle w:val="BodyText"/>
      </w:pPr>
      <w:r w:rsidRPr="00CC102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C1021" w:rsidP="00CC1021">
      <w:pPr>
        <w:pStyle w:val="ListBullet"/>
      </w:pPr>
      <w:r w:rsidRPr="00CC1021">
        <w:t>followed est</w:t>
      </w:r>
      <w:r w:rsidRPr="00CC1021">
        <w:t>ablished technical, infection control and safety procedures to receive, prepare, transfer and position at least 10 different clients for procedures involving anaesthesia</w:t>
      </w:r>
    </w:p>
    <w:p w:rsidR="00000000" w:rsidRPr="00CC1021" w:rsidP="00CC1021">
      <w:pPr>
        <w:pStyle w:val="ListBullet"/>
      </w:pPr>
      <w:r w:rsidRPr="00CC1021">
        <w:t>placed patients in all of the following positions:</w:t>
      </w:r>
    </w:p>
    <w:p w:rsidR="00000000" w:rsidRPr="00CC1021" w:rsidP="00CC1021">
      <w:pPr>
        <w:pStyle w:val="ListBullet2"/>
      </w:pPr>
      <w:r w:rsidRPr="00CC1021">
        <w:t>prone</w:t>
      </w:r>
    </w:p>
    <w:p w:rsidR="00000000" w:rsidRPr="00CC1021" w:rsidP="00CC1021">
      <w:pPr>
        <w:pStyle w:val="ListBullet2"/>
      </w:pPr>
      <w:r w:rsidRPr="00CC1021">
        <w:t>lateral</w:t>
      </w:r>
    </w:p>
    <w:p w:rsidR="00000000" w:rsidRPr="00CC1021" w:rsidP="00CC1021">
      <w:pPr>
        <w:pStyle w:val="ListBullet2"/>
      </w:pPr>
      <w:r w:rsidRPr="00CC1021">
        <w:t>lithotomy</w:t>
      </w:r>
    </w:p>
    <w:p w:rsidR="00000000" w:rsidRPr="00CC1021" w:rsidP="00CC1021">
      <w:pPr>
        <w:pStyle w:val="ListBullet2"/>
      </w:pPr>
      <w:r w:rsidRPr="00CC1021">
        <w:t>supine</w:t>
      </w:r>
    </w:p>
    <w:p w:rsidR="00000000" w:rsidRPr="00CC1021" w:rsidP="00CC1021">
      <w:pPr>
        <w:pStyle w:val="ListBullet2"/>
      </w:pPr>
      <w:r w:rsidRPr="00CC1021">
        <w:t>Tre</w:t>
      </w:r>
      <w:r w:rsidRPr="00CC1021">
        <w:t>ndelenburg</w:t>
      </w:r>
    </w:p>
    <w:p w:rsidR="00000000" w:rsidRPr="00CC1021" w:rsidP="00CC1021">
      <w:pPr>
        <w:pStyle w:val="ListBullet2"/>
      </w:pPr>
      <w:r w:rsidRPr="00CC1021">
        <w:t>reverse Trendelenburg</w:t>
      </w:r>
    </w:p>
    <w:p w:rsidR="00000000" w:rsidRPr="00CC1021" w:rsidP="00CC1021">
      <w:pPr>
        <w:pStyle w:val="ListBullet"/>
      </w:pPr>
      <w:r w:rsidRPr="00CC1021">
        <w:t>used the following equipment correctly:</w:t>
      </w:r>
    </w:p>
    <w:p w:rsidR="00000000" w:rsidRPr="00CC1021" w:rsidP="00CC1021">
      <w:pPr>
        <w:pStyle w:val="ListBullet2"/>
      </w:pPr>
      <w:r w:rsidRPr="00CC1021">
        <w:t>beds</w:t>
      </w:r>
    </w:p>
    <w:p w:rsidR="00000000" w:rsidRPr="00CC1021" w:rsidP="00CC1021">
      <w:pPr>
        <w:pStyle w:val="ListBullet2"/>
      </w:pPr>
      <w:r w:rsidRPr="00CC1021">
        <w:t>theatre trolley</w:t>
      </w:r>
    </w:p>
    <w:p w:rsidR="00000000" w:rsidRPr="00CC1021" w:rsidP="00CC1021">
      <w:pPr>
        <w:pStyle w:val="ListBullet2"/>
      </w:pPr>
      <w:r w:rsidRPr="00CC1021">
        <w:t>operating table</w:t>
      </w:r>
    </w:p>
    <w:p w:rsidR="00000000" w:rsidRPr="00CC1021" w:rsidP="00CC1021">
      <w:pPr>
        <w:pStyle w:val="ListBullet2"/>
      </w:pPr>
      <w:r w:rsidRPr="00CC1021">
        <w:t>patient handling equipment, including specialised equipment</w:t>
      </w:r>
    </w:p>
    <w:p w:rsidR="00000000" w:rsidRPr="00CC1021" w:rsidP="00CC1021">
      <w:pPr>
        <w:pStyle w:val="ListBullet2"/>
      </w:pPr>
      <w:r w:rsidRPr="00CC1021">
        <w:t>wheelchairs</w:t>
      </w:r>
    </w:p>
    <w:p w:rsidR="00000000" w:rsidRPr="00CC1021" w:rsidP="00CC1021">
      <w:pPr>
        <w:pStyle w:val="AllowPageBreak"/>
      </w:pPr>
    </w:p>
    <w:p w:rsidR="00000000" w:rsidRPr="00CC1021" w:rsidP="00CC1021">
      <w:pPr>
        <w:pStyle w:val="Heading1"/>
      </w:pPr>
      <w:bookmarkStart w:id="3" w:name="O_873334"/>
      <w:bookmarkEnd w:id="3"/>
      <w:r w:rsidRPr="00CC1021">
        <w:t>Knowledge Evidence</w:t>
      </w:r>
    </w:p>
    <w:p w:rsidR="00000000" w:rsidRPr="00CC1021" w:rsidP="00F0642F">
      <w:pPr>
        <w:pStyle w:val="BodyText"/>
      </w:pPr>
      <w:r w:rsidRPr="00CC102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C1021">
        <w:t>of:</w:t>
      </w:r>
    </w:p>
    <w:p w:rsidR="00000000" w:rsidRPr="00CC1021" w:rsidP="00CC1021">
      <w:pPr>
        <w:pStyle w:val="ListBullet"/>
      </w:pPr>
      <w:r w:rsidRPr="00CC1021">
        <w:t>legal and ethical considerations (national, state/territory) for client preparation, and how these are applied in organisations:</w:t>
      </w:r>
    </w:p>
    <w:p w:rsidR="00000000" w:rsidRPr="00CC1021" w:rsidP="00CC1021">
      <w:pPr>
        <w:pStyle w:val="ListBullet2"/>
      </w:pPr>
      <w:r w:rsidRPr="00CC1021">
        <w:t>codes of practice</w:t>
      </w:r>
    </w:p>
    <w:p w:rsidR="00000000" w:rsidRPr="00CC1021" w:rsidP="00CC1021">
      <w:pPr>
        <w:pStyle w:val="ListBullet2"/>
      </w:pPr>
      <w:r w:rsidRPr="00CC1021">
        <w:t>duty of care</w:t>
      </w:r>
    </w:p>
    <w:p w:rsidR="00000000" w:rsidRPr="00CC1021" w:rsidP="00CC1021">
      <w:pPr>
        <w:pStyle w:val="ListBullet2"/>
      </w:pPr>
      <w:r w:rsidRPr="00CC1021">
        <w:t xml:space="preserve">infection prevention and control </w:t>
      </w:r>
    </w:p>
    <w:p w:rsidR="00000000" w:rsidRPr="00CC1021" w:rsidP="00CC1021">
      <w:pPr>
        <w:pStyle w:val="ListBullet2"/>
      </w:pPr>
      <w:r w:rsidRPr="00CC1021">
        <w:t xml:space="preserve">informed consent </w:t>
      </w:r>
    </w:p>
    <w:p w:rsidR="00000000" w:rsidRPr="00CC1021" w:rsidP="00CC1021">
      <w:pPr>
        <w:pStyle w:val="ListBullet2"/>
      </w:pPr>
      <w:r w:rsidRPr="00CC1021">
        <w:t xml:space="preserve">mandatory reporting </w:t>
      </w:r>
    </w:p>
    <w:p w:rsidR="00000000" w:rsidRPr="00CC1021" w:rsidP="00CC1021">
      <w:pPr>
        <w:pStyle w:val="ListBullet2"/>
      </w:pPr>
      <w:r w:rsidRPr="00CC1021">
        <w:t>privacy, confiden</w:t>
      </w:r>
      <w:r w:rsidRPr="00CC1021">
        <w:t>tiality and disclosure</w:t>
      </w:r>
    </w:p>
    <w:p w:rsidR="00000000" w:rsidRPr="00CC1021" w:rsidP="00CC1021">
      <w:pPr>
        <w:pStyle w:val="ListBullet2"/>
      </w:pPr>
      <w:r w:rsidRPr="00CC1021">
        <w:t xml:space="preserve">records management </w:t>
      </w:r>
    </w:p>
    <w:p w:rsidR="00000000" w:rsidRPr="00CC1021" w:rsidP="00CC1021">
      <w:pPr>
        <w:pStyle w:val="ListBullet2"/>
      </w:pPr>
      <w:r w:rsidRPr="00CC1021">
        <w:t>rights and responsibilities of workers, employers and clients</w:t>
      </w:r>
    </w:p>
    <w:p w:rsidR="00000000" w:rsidRPr="00CC1021" w:rsidP="00CC1021">
      <w:pPr>
        <w:pStyle w:val="ListBullet2"/>
      </w:pPr>
      <w:r w:rsidRPr="00CC1021">
        <w:t>work role boundaries – responsibilities and limitations</w:t>
      </w:r>
    </w:p>
    <w:p w:rsidR="00000000" w:rsidRPr="00CC1021" w:rsidP="00CC1021">
      <w:pPr>
        <w:pStyle w:val="ListBullet2"/>
      </w:pPr>
      <w:r w:rsidRPr="00CC1021">
        <w:t>work health and safety (WHS), manual handling and safe client transfer and positioning techniques</w:t>
      </w:r>
    </w:p>
    <w:p w:rsidR="00000000" w:rsidRPr="00CC1021" w:rsidP="00CC1021">
      <w:pPr>
        <w:pStyle w:val="ListBullet"/>
      </w:pPr>
      <w:r w:rsidRPr="00CC1021">
        <w:t>function and use of surgical safety lists</w:t>
      </w:r>
    </w:p>
    <w:p w:rsidR="00000000" w:rsidRPr="00CC1021" w:rsidP="00CC1021">
      <w:pPr>
        <w:pStyle w:val="ListBullet"/>
      </w:pPr>
      <w:r w:rsidRPr="00CC1021">
        <w:t>client drains and traction attachments</w:t>
      </w:r>
    </w:p>
    <w:p w:rsidR="00000000" w:rsidRPr="00CC1021" w:rsidP="00CC1021">
      <w:pPr>
        <w:pStyle w:val="ListBullet"/>
      </w:pPr>
      <w:r w:rsidRPr="00CC1021">
        <w:t>pre-medications and their effects relevant to providing assistance in anaest</w:t>
      </w:r>
      <w:r w:rsidRPr="00CC1021">
        <w:t>hesia</w:t>
      </w:r>
    </w:p>
    <w:p w:rsidR="00000000" w:rsidRPr="00CC1021" w:rsidP="00CC1021">
      <w:pPr>
        <w:pStyle w:val="ListBullet"/>
      </w:pPr>
      <w:r w:rsidRPr="00CC1021">
        <w:t xml:space="preserve">anatomy, physiology and pathophysiology factors that impact client positioning and equipment interface for different client groups </w:t>
      </w:r>
    </w:p>
    <w:p w:rsidR="00000000" w:rsidRPr="00CC1021" w:rsidP="00CC1021">
      <w:pPr>
        <w:pStyle w:val="ListBullet"/>
      </w:pPr>
      <w:r w:rsidRPr="00CC1021">
        <w:t>medical terminology specific to client procedures:</w:t>
      </w:r>
    </w:p>
    <w:p w:rsidR="00000000" w:rsidRPr="00CC1021" w:rsidP="00CC1021">
      <w:pPr>
        <w:pStyle w:val="ListBullet2"/>
      </w:pPr>
      <w:r w:rsidRPr="00CC1021">
        <w:t>preparation</w:t>
      </w:r>
    </w:p>
    <w:p w:rsidR="00000000" w:rsidRPr="00CC1021" w:rsidP="00CC1021">
      <w:pPr>
        <w:pStyle w:val="ListBullet2"/>
      </w:pPr>
      <w:r w:rsidRPr="00CC1021">
        <w:t>attachment/detachment of equipment</w:t>
      </w:r>
    </w:p>
    <w:p w:rsidR="00000000" w:rsidRPr="00CC1021" w:rsidP="00CC1021">
      <w:pPr>
        <w:pStyle w:val="ListBullet2"/>
      </w:pPr>
      <w:r w:rsidRPr="00CC1021">
        <w:t>positioning</w:t>
      </w:r>
    </w:p>
    <w:p w:rsidR="00000000" w:rsidRPr="00CC1021" w:rsidP="00CC1021">
      <w:pPr>
        <w:pStyle w:val="ListBullet2"/>
      </w:pPr>
      <w:r w:rsidRPr="00CC1021">
        <w:t>transfe</w:t>
      </w:r>
      <w:r w:rsidRPr="00CC1021">
        <w:t>r</w:t>
      </w:r>
    </w:p>
    <w:p w:rsidR="00000000" w:rsidRPr="00CC1021" w:rsidP="00CC1021">
      <w:pPr>
        <w:pStyle w:val="ListBullet"/>
      </w:pPr>
      <w:r w:rsidRPr="00CC1021">
        <w:t>clinical documentation and handover, including World Health Organisation</w:t>
      </w:r>
      <w:r w:rsidRPr="00CC1021">
        <w:rPr>
          <w:rStyle w:val="Emphasis"/>
        </w:rPr>
        <w:t xml:space="preserve"> Surgical safety checklist</w:t>
      </w:r>
    </w:p>
    <w:p w:rsidR="00000000" w:rsidRPr="00CC1021" w:rsidP="00CC1021">
      <w:pPr>
        <w:pStyle w:val="ListBullet"/>
      </w:pPr>
      <w:r w:rsidRPr="00CC1021">
        <w:t>tasks involved in client preparation for surgery including:</w:t>
      </w:r>
    </w:p>
    <w:p w:rsidR="00000000" w:rsidRPr="00CC1021" w:rsidP="00CC1021">
      <w:pPr>
        <w:pStyle w:val="ListBullet2"/>
      </w:pPr>
      <w:r w:rsidRPr="00CC1021">
        <w:t>premedications/routine medications</w:t>
      </w:r>
    </w:p>
    <w:p w:rsidR="00000000" w:rsidRPr="00CC1021" w:rsidP="00CC1021">
      <w:pPr>
        <w:pStyle w:val="ListBullet2"/>
      </w:pPr>
      <w:r w:rsidRPr="00CC1021">
        <w:t>antithromboembolytic devices</w:t>
      </w:r>
    </w:p>
    <w:p w:rsidR="00000000" w:rsidRPr="00CC1021" w:rsidP="00CC1021">
      <w:pPr>
        <w:pStyle w:val="ListBullet2"/>
      </w:pPr>
      <w:r w:rsidRPr="00CC1021">
        <w:t>removal of personnel items</w:t>
      </w:r>
    </w:p>
    <w:p w:rsidR="00000000" w:rsidRPr="00CC1021" w:rsidP="00CC1021">
      <w:pPr>
        <w:pStyle w:val="ListBullet2"/>
      </w:pPr>
      <w:r w:rsidRPr="00CC1021">
        <w:t>toileting</w:t>
      </w:r>
    </w:p>
    <w:p w:rsidR="00000000" w:rsidRPr="00CC1021" w:rsidP="00CC1021">
      <w:pPr>
        <w:pStyle w:val="ListBullet2"/>
      </w:pPr>
      <w:r w:rsidRPr="00CC1021">
        <w:t>fasting</w:t>
      </w:r>
    </w:p>
    <w:p w:rsidR="00000000" w:rsidRPr="00CC1021" w:rsidP="00CC1021">
      <w:pPr>
        <w:pStyle w:val="ListBullet2"/>
      </w:pPr>
      <w:r w:rsidRPr="00CC1021">
        <w:t>pathology testing</w:t>
      </w:r>
    </w:p>
    <w:p w:rsidR="00000000" w:rsidRPr="00CC1021" w:rsidP="00CC1021">
      <w:pPr>
        <w:pStyle w:val="ListBullet2"/>
      </w:pPr>
      <w:r w:rsidRPr="00CC1021">
        <w:t>clinical measurements</w:t>
      </w:r>
    </w:p>
    <w:p w:rsidR="00000000" w:rsidRPr="00CC1021" w:rsidP="00CC1021">
      <w:pPr>
        <w:pStyle w:val="ListBullet2"/>
      </w:pPr>
      <w:r w:rsidRPr="00CC1021">
        <w:t>radiological investigations</w:t>
      </w:r>
    </w:p>
    <w:p w:rsidR="00000000" w:rsidRPr="00CC1021" w:rsidP="00CC1021">
      <w:pPr>
        <w:pStyle w:val="ListBullet2"/>
      </w:pPr>
      <w:r w:rsidRPr="00CC1021">
        <w:t>prewarming</w:t>
      </w:r>
    </w:p>
    <w:p w:rsidR="00000000" w:rsidRPr="00CC1021" w:rsidP="00CC1021">
      <w:pPr>
        <w:pStyle w:val="ListBullet2"/>
      </w:pPr>
      <w:r w:rsidRPr="00CC1021">
        <w:t>surgical site preparation</w:t>
      </w:r>
    </w:p>
    <w:p w:rsidR="00000000" w:rsidRPr="00CC1021" w:rsidP="00CC1021">
      <w:pPr>
        <w:pStyle w:val="ListBullet"/>
      </w:pPr>
      <w:r w:rsidRPr="00CC1021">
        <w:t>how to attach routine monitoring and equipment, including:</w:t>
      </w:r>
    </w:p>
    <w:p w:rsidR="00000000" w:rsidRPr="00CC1021" w:rsidP="00CC1021">
      <w:pPr>
        <w:pStyle w:val="ListBullet2"/>
      </w:pPr>
      <w:r w:rsidRPr="00CC1021">
        <w:t>electrocardiography (ECG)</w:t>
      </w:r>
    </w:p>
    <w:p w:rsidR="00000000" w:rsidRPr="00CC1021" w:rsidP="00CC1021">
      <w:pPr>
        <w:pStyle w:val="ListBullet2"/>
      </w:pPr>
      <w:r w:rsidRPr="00CC1021">
        <w:t>non-invasive blood pressure cuff</w:t>
      </w:r>
    </w:p>
    <w:p w:rsidR="00000000" w:rsidRPr="00CC1021" w:rsidP="00CC1021">
      <w:pPr>
        <w:pStyle w:val="ListBullet2"/>
      </w:pPr>
      <w:r w:rsidRPr="00CC1021">
        <w:t>pulse oximetr</w:t>
      </w:r>
      <w:r w:rsidRPr="00CC1021">
        <w:t>y</w:t>
      </w:r>
    </w:p>
    <w:p w:rsidR="00000000" w:rsidRPr="00CC1021" w:rsidP="00CC1021">
      <w:pPr>
        <w:pStyle w:val="ListBullet2"/>
      </w:pPr>
      <w:r w:rsidRPr="00CC1021">
        <w:t>gas analyers</w:t>
      </w:r>
    </w:p>
    <w:p w:rsidR="00000000" w:rsidRPr="00CC1021" w:rsidP="00CC1021">
      <w:pPr>
        <w:pStyle w:val="ListBullet2"/>
      </w:pPr>
      <w:r w:rsidRPr="00CC1021">
        <w:t>antithrombembolytic devices</w:t>
      </w:r>
    </w:p>
    <w:p w:rsidR="00000000" w:rsidRPr="00CC1021" w:rsidP="00CC1021">
      <w:pPr>
        <w:pStyle w:val="ListBullet2"/>
      </w:pPr>
      <w:r w:rsidRPr="00CC1021">
        <w:t>diathermy plate</w:t>
      </w:r>
    </w:p>
    <w:p w:rsidR="00000000" w:rsidRPr="00CC1021" w:rsidP="00CC1021">
      <w:pPr>
        <w:pStyle w:val="ListBullet2"/>
      </w:pPr>
      <w:r w:rsidRPr="00CC1021">
        <w:t>warming devices</w:t>
      </w:r>
    </w:p>
    <w:p w:rsidR="00000000" w:rsidRPr="00CC1021" w:rsidP="00CC1021">
      <w:pPr>
        <w:pStyle w:val="ListBullet2"/>
      </w:pPr>
      <w:r w:rsidRPr="00CC1021">
        <w:t>client padding/protection</w:t>
      </w:r>
    </w:p>
    <w:p w:rsidR="00000000" w:rsidRPr="00CC1021" w:rsidP="00CC1021">
      <w:pPr>
        <w:pStyle w:val="ListBullet"/>
      </w:pPr>
      <w:r w:rsidRPr="00CC1021">
        <w:t>intravenous access techniques &amp; equipment used</w:t>
      </w:r>
    </w:p>
    <w:p w:rsidR="00000000" w:rsidRPr="00CC1021" w:rsidP="00CC1021">
      <w:pPr>
        <w:pStyle w:val="AllowPageBreak"/>
      </w:pPr>
    </w:p>
    <w:p w:rsidR="00000000" w:rsidRPr="00CC1021" w:rsidP="00CC1021">
      <w:pPr>
        <w:pStyle w:val="Heading1"/>
      </w:pPr>
      <w:bookmarkStart w:id="4" w:name="O_873333"/>
      <w:bookmarkEnd w:id="4"/>
      <w:r w:rsidRPr="00CC1021">
        <w:t>Assessment Conditions</w:t>
      </w:r>
    </w:p>
    <w:p w:rsidR="00000000" w:rsidRPr="00CC1021" w:rsidP="00F0642F">
      <w:pPr>
        <w:pStyle w:val="BodyText"/>
      </w:pPr>
      <w:r w:rsidRPr="00CC1021">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CC1021" w:rsidP="00CC1021">
      <w:pPr>
        <w:pStyle w:val="ListBullet"/>
      </w:pPr>
      <w:r w:rsidRPr="00CC1021">
        <w:t>use of suitabl</w:t>
      </w:r>
      <w:r w:rsidRPr="00CC1021">
        <w:t>e facilities, equipment and resources</w:t>
      </w:r>
    </w:p>
    <w:p w:rsidR="00000000" w:rsidRPr="00CC1021" w:rsidP="00CC1021">
      <w:pPr>
        <w:pStyle w:val="ListBullet"/>
      </w:pPr>
      <w:r w:rsidRPr="00CC1021">
        <w:t>modelling of industry operating conditions, including presence of situations requiring problem solving in non-routine situations</w:t>
      </w:r>
    </w:p>
    <w:p w:rsidR="00000000" w:rsidRPr="00CC1021" w:rsidP="00CC1021">
      <w:pPr>
        <w:pStyle w:val="BodyText"/>
      </w:pPr>
    </w:p>
    <w:p w:rsidR="00000000" w:rsidRPr="00CC1021" w:rsidP="00F0642F">
      <w:pPr>
        <w:pStyle w:val="BodyText"/>
      </w:pPr>
      <w:r w:rsidRPr="00CC1021">
        <w:t>Assessors must satisfy the Standards for Registered Training Organisations (RTOs) 2015/A</w:t>
      </w:r>
      <w:r w:rsidRPr="00CC1021">
        <w:t>QTF mandatory competency requirements for assessors.</w:t>
      </w:r>
    </w:p>
    <w:p w:rsidR="00000000" w:rsidRPr="00CC1021" w:rsidP="00CC1021">
      <w:pPr>
        <w:pStyle w:val="Heading1"/>
      </w:pPr>
      <w:bookmarkStart w:id="5" w:name="O_873344"/>
      <w:bookmarkEnd w:id="5"/>
      <w:r w:rsidRPr="00CC1021">
        <w:t>Links</w:t>
      </w:r>
    </w:p>
    <w:p w:rsidR="00000000" w:rsidRPr="00CC1021" w:rsidP="00F0642F">
      <w:pPr>
        <w:pStyle w:val="BodyText"/>
      </w:pPr>
      <w:r w:rsidRPr="00CC102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1A55">
        <w:rPr>
          <w:rStyle w:val="Hyperlink"/>
        </w:rPr>
        <w:t>https://vetnet.gov.au/Pages/TrainingDocs.aspx?q=ced1390f-48d9-4ab0-bd50-b015e5485705</w:t>
      </w:r>
      <w:r>
        <w:fldChar w:fldCharType="end"/>
      </w:r>
    </w:p>
    <w:p w:rsidR="00000000" w:rsidRPr="00CC1021" w:rsidP="00CC1021"/>
    <w:sectPr w:rsidSect="00CC10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21" w:rsidRPr="00F0642F" w:rsidP="00F06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2F" w:rsidP="00CC1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642F" w:rsidP="00CC10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0642F" w:rsidP="00CC1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021" w:rsidRPr="00F0642F" w:rsidP="00F06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2F" w:rsidRPr="002D2AF8" w:rsidP="00CC1021">
    <w:pPr>
      <w:pStyle w:val="Header"/>
      <w:framePr w:wrap="around"/>
    </w:pPr>
    <w:r>
      <w:fldChar w:fldCharType="begin"/>
    </w:r>
    <w:r>
      <w:instrText xml:space="preserve"> TITLE   \* MERGEFORMAT </w:instrText>
    </w:r>
    <w:r>
      <w:fldChar w:fldCharType="separate"/>
    </w:r>
    <w:r>
      <w:t>Assessment Requirements for HLTANA001 Prepare clients for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0642F" w:rsidP="00CC1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F0E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81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62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021"/>
    <w:pPr>
      <w:spacing w:before="360" w:after="60"/>
      <w:outlineLvl w:val="0"/>
    </w:pPr>
    <w:rPr>
      <w:sz w:val="32"/>
    </w:rPr>
  </w:style>
  <w:style w:type="paragraph" w:styleId="Heading2">
    <w:name w:val="heading 2"/>
    <w:basedOn w:val="HeadingBase"/>
    <w:next w:val="BodyText"/>
    <w:link w:val="Heading2Char"/>
    <w:qFormat/>
    <w:rsid w:val="00CC1021"/>
    <w:pPr>
      <w:keepLines/>
      <w:spacing w:before="240" w:after="120"/>
      <w:outlineLvl w:val="1"/>
    </w:pPr>
    <w:rPr>
      <w:sz w:val="28"/>
      <w:szCs w:val="40"/>
    </w:rPr>
  </w:style>
  <w:style w:type="paragraph" w:styleId="Heading3">
    <w:name w:val="heading 3"/>
    <w:basedOn w:val="HeadingBase"/>
    <w:next w:val="BodyText"/>
    <w:link w:val="Heading3Char"/>
    <w:qFormat/>
    <w:rsid w:val="00CC1021"/>
    <w:pPr>
      <w:spacing w:before="180" w:after="120"/>
      <w:outlineLvl w:val="2"/>
    </w:pPr>
    <w:rPr>
      <w:spacing w:val="-10"/>
      <w:kern w:val="32"/>
    </w:rPr>
  </w:style>
  <w:style w:type="paragraph" w:styleId="Heading4">
    <w:name w:val="heading 4"/>
    <w:basedOn w:val="HeadingBase"/>
    <w:next w:val="BodyText"/>
    <w:link w:val="Heading4Char"/>
    <w:qFormat/>
    <w:rsid w:val="00CC1021"/>
    <w:pPr>
      <w:spacing w:before="160" w:after="120"/>
      <w:outlineLvl w:val="3"/>
    </w:pPr>
    <w:rPr>
      <w:sz w:val="22"/>
    </w:rPr>
  </w:style>
  <w:style w:type="paragraph" w:styleId="Heading5">
    <w:name w:val="heading 5"/>
    <w:basedOn w:val="HeadingBase"/>
    <w:next w:val="Normal"/>
    <w:link w:val="Heading5Char"/>
    <w:qFormat/>
    <w:rsid w:val="00CC1021"/>
    <w:pPr>
      <w:spacing w:before="80"/>
      <w:outlineLvl w:val="4"/>
    </w:pPr>
    <w:rPr>
      <w:color w:val="918585"/>
      <w:sz w:val="20"/>
    </w:rPr>
  </w:style>
  <w:style w:type="paragraph" w:styleId="Heading6">
    <w:name w:val="heading 6"/>
    <w:basedOn w:val="HeadingBase"/>
    <w:next w:val="Normal"/>
    <w:link w:val="Heading6Char"/>
    <w:qFormat/>
    <w:rsid w:val="00CC1021"/>
    <w:pPr>
      <w:spacing w:before="60"/>
      <w:outlineLvl w:val="5"/>
    </w:pPr>
    <w:rPr>
      <w:color w:val="918585"/>
      <w:sz w:val="20"/>
    </w:rPr>
  </w:style>
  <w:style w:type="paragraph" w:styleId="Heading7">
    <w:name w:val="heading 7"/>
    <w:basedOn w:val="Normal"/>
    <w:next w:val="Normal"/>
    <w:link w:val="Heading7Char"/>
    <w:qFormat/>
    <w:rsid w:val="00CC1021"/>
    <w:pPr>
      <w:ind w:left="720"/>
      <w:outlineLvl w:val="6"/>
    </w:pPr>
    <w:rPr>
      <w:i/>
    </w:rPr>
  </w:style>
  <w:style w:type="paragraph" w:styleId="Heading8">
    <w:name w:val="heading 8"/>
    <w:basedOn w:val="Normal"/>
    <w:next w:val="Normal"/>
    <w:link w:val="Heading8Char"/>
    <w:qFormat/>
    <w:rsid w:val="00CC1021"/>
    <w:pPr>
      <w:ind w:left="720"/>
      <w:outlineLvl w:val="7"/>
    </w:pPr>
    <w:rPr>
      <w:i/>
    </w:rPr>
  </w:style>
  <w:style w:type="paragraph" w:styleId="Heading9">
    <w:name w:val="heading 9"/>
    <w:basedOn w:val="Normal"/>
    <w:next w:val="Normal"/>
    <w:link w:val="Heading9Char"/>
    <w:qFormat/>
    <w:rsid w:val="00CC1021"/>
    <w:pPr>
      <w:ind w:left="720"/>
      <w:outlineLvl w:val="8"/>
    </w:pPr>
    <w:rPr>
      <w:i/>
    </w:rPr>
  </w:style>
  <w:style w:type="character" w:default="1" w:styleId="DefaultParagraphFont">
    <w:name w:val="Default Paragraph Font"/>
    <w:uiPriority w:val="1"/>
    <w:unhideWhenUsed/>
    <w:rsid w:val="00CC1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021"/>
  </w:style>
  <w:style w:type="character" w:customStyle="1" w:styleId="Heading1Char">
    <w:name w:val="Heading 1 Char"/>
    <w:basedOn w:val="DefaultParagraphFont"/>
    <w:link w:val="Heading1"/>
    <w:rsid w:val="00CC1021"/>
    <w:rPr>
      <w:rFonts w:ascii="Times New Roman" w:eastAsia="Times New Roman" w:hAnsi="Times New Roman" w:cs="Times New Roman"/>
      <w:b/>
      <w:sz w:val="32"/>
      <w:szCs w:val="20"/>
      <w:lang w:eastAsia="en-US"/>
    </w:rPr>
  </w:style>
  <w:style w:type="paragraph" w:styleId="BodyText">
    <w:name w:val="Body Text"/>
    <w:basedOn w:val="Normal"/>
    <w:link w:val="BodyTextChar"/>
    <w:rsid w:val="00CC1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021"/>
    <w:rPr>
      <w:rFonts w:ascii="Times New Roman" w:eastAsia="Times New Roman" w:hAnsi="Times New Roman" w:cs="Times New Roman"/>
      <w:sz w:val="24"/>
      <w:lang w:eastAsia="en-US"/>
    </w:rPr>
  </w:style>
  <w:style w:type="paragraph" w:styleId="ListBullet">
    <w:name w:val="List Bullet"/>
    <w:basedOn w:val="List"/>
    <w:rsid w:val="00CC1021"/>
    <w:pPr>
      <w:numPr>
        <w:numId w:val="12"/>
      </w:numPr>
      <w:tabs>
        <w:tab w:val="clear" w:pos="340"/>
      </w:tabs>
      <w:spacing w:before="40" w:after="40"/>
    </w:pPr>
  </w:style>
  <w:style w:type="character" w:customStyle="1" w:styleId="SpecialBold">
    <w:name w:val="Special Bold"/>
    <w:basedOn w:val="DefaultParagraphFont"/>
    <w:rsid w:val="00CC1021"/>
    <w:rPr>
      <w:b/>
      <w:spacing w:val="0"/>
    </w:rPr>
  </w:style>
  <w:style w:type="paragraph" w:styleId="ListBullet2">
    <w:name w:val="List Bullet 2"/>
    <w:basedOn w:val="List2"/>
    <w:rsid w:val="00CC1021"/>
    <w:pPr>
      <w:numPr>
        <w:numId w:val="13"/>
      </w:numPr>
      <w:tabs>
        <w:tab w:val="clear" w:pos="680"/>
      </w:tabs>
    </w:pPr>
  </w:style>
  <w:style w:type="character" w:styleId="Emphasis">
    <w:name w:val="Emphasis"/>
    <w:basedOn w:val="DefaultParagraphFont"/>
    <w:qFormat/>
    <w:rsid w:val="00CC1021"/>
    <w:rPr>
      <w:i/>
    </w:rPr>
  </w:style>
  <w:style w:type="paragraph" w:customStyle="1" w:styleId="SuperHeading">
    <w:name w:val="SuperHeading"/>
    <w:basedOn w:val="Normal"/>
    <w:rsid w:val="00CC1021"/>
    <w:pPr>
      <w:spacing w:before="240" w:after="120"/>
      <w:outlineLvl w:val="0"/>
    </w:pPr>
    <w:rPr>
      <w:rFonts w:ascii="Times New Roman" w:hAnsi="Times New Roman"/>
      <w:b/>
      <w:sz w:val="32"/>
    </w:rPr>
  </w:style>
  <w:style w:type="paragraph" w:customStyle="1" w:styleId="AllowPageBreak">
    <w:name w:val="AllowPageBreak"/>
    <w:rsid w:val="00CC1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021"/>
    <w:rPr>
      <w:rFonts w:ascii="Courier New" w:eastAsia="Times New Roman" w:hAnsi="Courier New" w:cs="Times New Roman"/>
      <w:i/>
      <w:szCs w:val="20"/>
      <w:lang w:eastAsia="en-US"/>
    </w:rPr>
  </w:style>
  <w:style w:type="paragraph" w:customStyle="1" w:styleId="HeadingBase">
    <w:name w:val="Heading Base"/>
    <w:rsid w:val="00CC1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021"/>
    <w:pPr>
      <w:tabs>
        <w:tab w:val="right" w:leader="dot" w:pos="9072"/>
      </w:tabs>
      <w:ind w:left="567"/>
    </w:pPr>
    <w:rPr>
      <w:szCs w:val="22"/>
    </w:rPr>
  </w:style>
  <w:style w:type="paragraph" w:customStyle="1" w:styleId="TOCBase">
    <w:name w:val="TOC Base"/>
    <w:rsid w:val="00CC1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021"/>
    <w:pPr>
      <w:tabs>
        <w:tab w:val="right" w:leader="dot" w:pos="9072"/>
      </w:tabs>
      <w:spacing w:before="40" w:after="40"/>
      <w:ind w:left="284"/>
    </w:pPr>
    <w:rPr>
      <w:rFonts w:ascii="Times New Roman" w:hAnsi="Times New Roman"/>
    </w:rPr>
  </w:style>
  <w:style w:type="paragraph" w:styleId="TOC1">
    <w:name w:val="toc 1"/>
    <w:basedOn w:val="TOCBase"/>
    <w:next w:val="Normal"/>
    <w:rsid w:val="00CC1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021"/>
    <w:rPr>
      <w:rFonts w:ascii="Times New Roman" w:eastAsia="Times New Roman" w:hAnsi="Times New Roman" w:cs="Times New Roman"/>
      <w:sz w:val="16"/>
      <w:lang w:eastAsia="en-US"/>
    </w:rPr>
  </w:style>
  <w:style w:type="paragraph" w:styleId="Title">
    <w:name w:val="Title"/>
    <w:basedOn w:val="HeadingBase"/>
    <w:link w:val="TitleChar"/>
    <w:qFormat/>
    <w:rsid w:val="00CC1021"/>
    <w:pPr>
      <w:spacing w:before="5040"/>
      <w:jc w:val="center"/>
    </w:pPr>
    <w:rPr>
      <w:sz w:val="48"/>
      <w:szCs w:val="72"/>
      <w:lang w:val="en-US"/>
    </w:rPr>
  </w:style>
  <w:style w:type="character" w:customStyle="1" w:styleId="TitleChar">
    <w:name w:val="Title Char"/>
    <w:basedOn w:val="DefaultParagraphFont"/>
    <w:link w:val="Title"/>
    <w:rsid w:val="00CC1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021"/>
    <w:pPr>
      <w:tabs>
        <w:tab w:val="left" w:pos="3600"/>
        <w:tab w:val="left" w:pos="3958"/>
      </w:tabs>
    </w:pPr>
  </w:style>
  <w:style w:type="paragraph" w:styleId="List">
    <w:name w:val="List"/>
    <w:basedOn w:val="BodyText"/>
    <w:next w:val="BodyText"/>
    <w:rsid w:val="00CC1021"/>
    <w:pPr>
      <w:tabs>
        <w:tab w:val="left" w:pos="340"/>
      </w:tabs>
      <w:spacing w:before="60" w:after="60"/>
      <w:ind w:left="340" w:hanging="340"/>
    </w:pPr>
  </w:style>
  <w:style w:type="paragraph" w:customStyle="1" w:styleId="Note">
    <w:name w:val="Note"/>
    <w:basedOn w:val="BodyText"/>
    <w:rsid w:val="00CC1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021"/>
    <w:pPr>
      <w:framePr w:wrap="auto" w:hAnchor="text" w:y="6049"/>
    </w:pPr>
    <w:rPr>
      <w:color w:val="000000"/>
      <w:sz w:val="40"/>
    </w:rPr>
  </w:style>
  <w:style w:type="paragraph" w:customStyle="1" w:styleId="TOCTitle">
    <w:name w:val="TOCTitle"/>
    <w:basedOn w:val="Heading1"/>
    <w:rsid w:val="00CC1021"/>
    <w:pPr>
      <w:spacing w:after="240"/>
      <w:jc w:val="center"/>
      <w:outlineLvl w:val="9"/>
    </w:pPr>
    <w:rPr>
      <w:caps/>
    </w:rPr>
  </w:style>
  <w:style w:type="paragraph" w:customStyle="1" w:styleId="Version">
    <w:name w:val="Version"/>
    <w:rsid w:val="00CC1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021"/>
    <w:pPr>
      <w:keepNext w:val="0"/>
      <w:tabs>
        <w:tab w:val="right" w:pos="4176"/>
      </w:tabs>
      <w:ind w:left="198" w:hanging="198"/>
    </w:pPr>
    <w:rPr>
      <w:rFonts w:ascii="Garamond" w:hAnsi="Garamond"/>
    </w:rPr>
  </w:style>
  <w:style w:type="paragraph" w:styleId="IndexHeading">
    <w:name w:val="index heading"/>
    <w:basedOn w:val="Normal"/>
    <w:next w:val="Index1"/>
    <w:semiHidden/>
    <w:rsid w:val="00CC1021"/>
    <w:pPr>
      <w:spacing w:before="120" w:after="120"/>
    </w:pPr>
    <w:rPr>
      <w:rFonts w:ascii="Arial" w:hAnsi="Arial"/>
      <w:b/>
      <w:color w:val="918585"/>
      <w:sz w:val="24"/>
    </w:rPr>
  </w:style>
  <w:style w:type="paragraph" w:styleId="Header">
    <w:name w:val="header"/>
    <w:basedOn w:val="Normal"/>
    <w:link w:val="HeaderChar"/>
    <w:rsid w:val="00CC1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021"/>
    <w:rPr>
      <w:rFonts w:ascii="Times New Roman" w:eastAsia="Times New Roman" w:hAnsi="Times New Roman" w:cs="Times New Roman"/>
      <w:sz w:val="16"/>
      <w:szCs w:val="20"/>
      <w:lang w:val="en-GB" w:eastAsia="en-US"/>
    </w:rPr>
  </w:style>
  <w:style w:type="paragraph" w:customStyle="1" w:styleId="Chapter">
    <w:name w:val="Chapter"/>
    <w:basedOn w:val="Normal"/>
    <w:rsid w:val="00CC1021"/>
    <w:pPr>
      <w:spacing w:before="240"/>
    </w:pPr>
    <w:rPr>
      <w:rFonts w:ascii="Times New Roman" w:hAnsi="Times New Roman"/>
      <w:smallCaps/>
      <w:spacing w:val="80"/>
      <w:sz w:val="28"/>
    </w:rPr>
  </w:style>
  <w:style w:type="paragraph" w:customStyle="1" w:styleId="InChapter">
    <w:name w:val="InChapter"/>
    <w:basedOn w:val="Heading3"/>
    <w:rsid w:val="00CC1021"/>
    <w:pPr>
      <w:spacing w:after="240"/>
      <w:outlineLvl w:val="9"/>
    </w:pPr>
    <w:rPr>
      <w:noProof/>
    </w:rPr>
  </w:style>
  <w:style w:type="paragraph" w:styleId="Index2">
    <w:name w:val="index 2"/>
    <w:basedOn w:val="Normal"/>
    <w:next w:val="Normal"/>
    <w:semiHidden/>
    <w:rsid w:val="00CC1021"/>
    <w:pPr>
      <w:tabs>
        <w:tab w:val="right" w:pos="4176"/>
      </w:tabs>
      <w:ind w:left="568" w:hanging="284"/>
    </w:pPr>
    <w:rPr>
      <w:rFonts w:ascii="Garamond" w:hAnsi="Garamond"/>
    </w:rPr>
  </w:style>
  <w:style w:type="paragraph" w:customStyle="1" w:styleId="Byline">
    <w:name w:val="Byline"/>
    <w:rsid w:val="00CC1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021"/>
    <w:pPr>
      <w:tabs>
        <w:tab w:val="clear" w:pos="3600"/>
        <w:tab w:val="clear" w:pos="3958"/>
      </w:tabs>
      <w:jc w:val="right"/>
    </w:pPr>
  </w:style>
  <w:style w:type="paragraph" w:styleId="Caption">
    <w:name w:val="caption"/>
    <w:basedOn w:val="BodyText"/>
    <w:next w:val="Normal"/>
    <w:qFormat/>
    <w:rsid w:val="00CC1021"/>
    <w:pPr>
      <w:framePr w:w="2268" w:hSpace="181" w:vSpace="181" w:wrap="around" w:vAnchor="text" w:hAnchor="page" w:x="1135" w:y="285" w:anchorLock="1"/>
    </w:pPr>
    <w:rPr>
      <w:i/>
    </w:rPr>
  </w:style>
  <w:style w:type="paragraph" w:customStyle="1" w:styleId="MiniTOCTitle">
    <w:name w:val="MiniTOCTitle"/>
    <w:basedOn w:val="Heading4"/>
    <w:rsid w:val="00CC1021"/>
    <w:pPr>
      <w:spacing w:before="240"/>
      <w:outlineLvl w:val="9"/>
    </w:pPr>
    <w:rPr>
      <w:noProof/>
      <w:sz w:val="24"/>
    </w:rPr>
  </w:style>
  <w:style w:type="paragraph" w:customStyle="1" w:styleId="MiniTOCItem">
    <w:name w:val="MiniTOCItem"/>
    <w:basedOn w:val="ListBullet"/>
    <w:rsid w:val="00CC1021"/>
    <w:pPr>
      <w:numPr>
        <w:numId w:val="0"/>
      </w:numPr>
      <w:tabs>
        <w:tab w:val="right" w:leader="dot" w:pos="6521"/>
      </w:tabs>
      <w:spacing w:before="0" w:after="0"/>
    </w:pPr>
  </w:style>
  <w:style w:type="paragraph" w:customStyle="1" w:styleId="TOFTitle">
    <w:name w:val="TOFTitle"/>
    <w:basedOn w:val="TOCTitle"/>
    <w:rsid w:val="00CC1021"/>
  </w:style>
  <w:style w:type="paragraph" w:styleId="TableofFigures">
    <w:name w:val="table of figures"/>
    <w:basedOn w:val="Normal"/>
    <w:next w:val="Normal"/>
    <w:semiHidden/>
    <w:rsid w:val="00CC1021"/>
    <w:pPr>
      <w:tabs>
        <w:tab w:val="right" w:leader="dot" w:pos="9072"/>
      </w:tabs>
      <w:ind w:left="970" w:hanging="403"/>
    </w:pPr>
    <w:rPr>
      <w:rFonts w:ascii="Times New Roman" w:hAnsi="Times New Roman"/>
      <w:b/>
    </w:rPr>
  </w:style>
  <w:style w:type="paragraph" w:styleId="ListNumber">
    <w:name w:val="List Number"/>
    <w:basedOn w:val="List"/>
    <w:rsid w:val="00CC1021"/>
    <w:pPr>
      <w:numPr>
        <w:numId w:val="15"/>
      </w:numPr>
      <w:tabs>
        <w:tab w:val="clear" w:pos="340"/>
      </w:tabs>
    </w:pPr>
  </w:style>
  <w:style w:type="character" w:customStyle="1" w:styleId="WingdingSymbols">
    <w:name w:val="Wingding Symbols"/>
    <w:rsid w:val="00CC1021"/>
    <w:rPr>
      <w:rFonts w:ascii="Wingdings" w:hAnsi="Wingdings"/>
    </w:rPr>
  </w:style>
  <w:style w:type="paragraph" w:customStyle="1" w:styleId="TableHeading">
    <w:name w:val="Table Heading"/>
    <w:basedOn w:val="HeadingBase"/>
    <w:rsid w:val="00CC1021"/>
    <w:pPr>
      <w:keepLines/>
      <w:pBdr>
        <w:bottom w:val="single" w:sz="6" w:space="1" w:color="918585"/>
      </w:pBdr>
      <w:spacing w:before="240"/>
    </w:pPr>
  </w:style>
  <w:style w:type="character" w:customStyle="1" w:styleId="HotSpot">
    <w:name w:val="HotSpot"/>
    <w:rsid w:val="00CC1021"/>
    <w:rPr>
      <w:color w:val="0033CC"/>
      <w:u w:val="none"/>
    </w:rPr>
  </w:style>
  <w:style w:type="paragraph" w:customStyle="1" w:styleId="BodyTextRight">
    <w:name w:val="Body Text Right"/>
    <w:basedOn w:val="BodyText"/>
    <w:rsid w:val="00CC1021"/>
    <w:pPr>
      <w:spacing w:before="0" w:after="0"/>
      <w:jc w:val="right"/>
    </w:pPr>
  </w:style>
  <w:style w:type="paragraph" w:styleId="Index3">
    <w:name w:val="index 3"/>
    <w:basedOn w:val="ListNumber2"/>
    <w:next w:val="Normal"/>
    <w:semiHidden/>
    <w:rsid w:val="00CC1021"/>
    <w:pPr>
      <w:numPr>
        <w:numId w:val="0"/>
      </w:numPr>
      <w:tabs>
        <w:tab w:val="right" w:leader="dot" w:pos="4176"/>
      </w:tabs>
    </w:pPr>
  </w:style>
  <w:style w:type="paragraph" w:styleId="ListNumber2">
    <w:name w:val="List Number 2"/>
    <w:basedOn w:val="List2"/>
    <w:rsid w:val="00CC1021"/>
    <w:pPr>
      <w:numPr>
        <w:numId w:val="10"/>
      </w:numPr>
      <w:tabs>
        <w:tab w:val="clear" w:pos="1060"/>
      </w:tabs>
    </w:pPr>
  </w:style>
  <w:style w:type="paragraph" w:customStyle="1" w:styleId="MarginNote">
    <w:name w:val="Margin Note"/>
    <w:basedOn w:val="BodyText"/>
    <w:rsid w:val="00CC1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021"/>
    <w:rPr>
      <w:sz w:val="32"/>
    </w:rPr>
  </w:style>
  <w:style w:type="paragraph" w:customStyle="1" w:styleId="HeadingProcedure">
    <w:name w:val="Heading Procedure"/>
    <w:basedOn w:val="HeadingBase"/>
    <w:next w:val="Normal"/>
    <w:rsid w:val="00CC1021"/>
    <w:pPr>
      <w:tabs>
        <w:tab w:val="left" w:pos="0"/>
      </w:tabs>
      <w:spacing w:before="120" w:after="60"/>
    </w:pPr>
    <w:rPr>
      <w:i/>
      <w:color w:val="918585"/>
      <w:sz w:val="22"/>
    </w:rPr>
  </w:style>
  <w:style w:type="paragraph" w:customStyle="1" w:styleId="TableBodyText">
    <w:name w:val="Table Body Text"/>
    <w:basedOn w:val="BodyText"/>
    <w:rsid w:val="00CC1021"/>
    <w:pPr>
      <w:spacing w:before="60" w:after="60"/>
    </w:pPr>
  </w:style>
  <w:style w:type="paragraph" w:styleId="ListContinue">
    <w:name w:val="List Continue"/>
    <w:basedOn w:val="List"/>
    <w:rsid w:val="00CC1021"/>
    <w:pPr>
      <w:ind w:firstLine="0"/>
    </w:pPr>
  </w:style>
  <w:style w:type="paragraph" w:customStyle="1" w:styleId="ListNote">
    <w:name w:val="List Note"/>
    <w:basedOn w:val="List"/>
    <w:rsid w:val="00CC1021"/>
    <w:pPr>
      <w:pBdr>
        <w:top w:val="single" w:sz="6" w:space="2" w:color="918585"/>
        <w:bottom w:val="single" w:sz="6" w:space="2" w:color="918585"/>
      </w:pBdr>
      <w:tabs>
        <w:tab w:val="left" w:pos="1021"/>
      </w:tabs>
      <w:ind w:firstLine="0"/>
    </w:pPr>
  </w:style>
  <w:style w:type="paragraph" w:customStyle="1" w:styleId="Warning">
    <w:name w:val="Warning"/>
    <w:basedOn w:val="BodyText"/>
    <w:rsid w:val="00CC1021"/>
    <w:pPr>
      <w:shd w:val="clear" w:color="auto" w:fill="D9D9D9"/>
      <w:tabs>
        <w:tab w:val="left" w:pos="992"/>
      </w:tabs>
      <w:ind w:left="119" w:right="119"/>
    </w:pPr>
    <w:rPr>
      <w:sz w:val="20"/>
    </w:rPr>
  </w:style>
  <w:style w:type="paragraph" w:customStyle="1" w:styleId="MarginIcons">
    <w:name w:val="Margin Icons"/>
    <w:basedOn w:val="BodyText"/>
    <w:rsid w:val="00CC1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021"/>
    <w:rPr>
      <w:rFonts w:ascii="Courier New" w:hAnsi="Courier New"/>
    </w:rPr>
  </w:style>
  <w:style w:type="paragraph" w:customStyle="1" w:styleId="NoteBullet">
    <w:name w:val="Note Bullet"/>
    <w:basedOn w:val="Note"/>
    <w:rsid w:val="00CC1021"/>
    <w:pPr>
      <w:tabs>
        <w:tab w:val="clear" w:pos="680"/>
      </w:tabs>
      <w:spacing w:before="60" w:after="60"/>
    </w:pPr>
  </w:style>
  <w:style w:type="paragraph" w:customStyle="1" w:styleId="SubHeading2">
    <w:name w:val="SubHeading2"/>
    <w:basedOn w:val="HeadingBase"/>
    <w:rsid w:val="00CC1021"/>
    <w:pPr>
      <w:spacing w:before="240" w:after="60"/>
    </w:pPr>
    <w:rPr>
      <w:sz w:val="20"/>
    </w:rPr>
  </w:style>
  <w:style w:type="paragraph" w:customStyle="1" w:styleId="SubHeading1">
    <w:name w:val="SubHeading1"/>
    <w:basedOn w:val="HeadingBase"/>
    <w:rsid w:val="00CC1021"/>
    <w:pPr>
      <w:spacing w:before="240" w:after="60"/>
    </w:pPr>
    <w:rPr>
      <w:color w:val="918585"/>
      <w:sz w:val="22"/>
    </w:rPr>
  </w:style>
  <w:style w:type="paragraph" w:customStyle="1" w:styleId="SideHeading">
    <w:name w:val="Side Heading"/>
    <w:basedOn w:val="HeadingBase"/>
    <w:rsid w:val="00CC1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021"/>
    <w:pPr>
      <w:tabs>
        <w:tab w:val="num" w:pos="360"/>
      </w:tabs>
    </w:pPr>
  </w:style>
  <w:style w:type="paragraph" w:styleId="PlainText">
    <w:name w:val="Plain Text"/>
    <w:basedOn w:val="Normal"/>
    <w:link w:val="PlainTextChar"/>
    <w:rsid w:val="00CC1021"/>
    <w:rPr>
      <w:sz w:val="20"/>
    </w:rPr>
  </w:style>
  <w:style w:type="character" w:customStyle="1" w:styleId="PlainTextChar">
    <w:name w:val="Plain Text Char"/>
    <w:basedOn w:val="DefaultParagraphFont"/>
    <w:link w:val="PlainText"/>
    <w:rsid w:val="00CC1021"/>
    <w:rPr>
      <w:rFonts w:ascii="Courier New" w:eastAsia="Times New Roman" w:hAnsi="Courier New" w:cs="Times New Roman"/>
      <w:sz w:val="20"/>
      <w:szCs w:val="20"/>
      <w:lang w:eastAsia="en-US"/>
    </w:rPr>
  </w:style>
  <w:style w:type="character" w:customStyle="1" w:styleId="MenuOption">
    <w:name w:val="Menu Option"/>
    <w:basedOn w:val="DefaultParagraphFont"/>
    <w:rsid w:val="00CC1021"/>
    <w:rPr>
      <w:b/>
      <w:smallCaps/>
    </w:rPr>
  </w:style>
  <w:style w:type="paragraph" w:customStyle="1" w:styleId="TableListNumber">
    <w:name w:val="Table List Number"/>
    <w:basedOn w:val="ListNumber"/>
    <w:rsid w:val="00CC1021"/>
    <w:pPr>
      <w:numPr>
        <w:numId w:val="0"/>
      </w:numPr>
    </w:pPr>
  </w:style>
  <w:style w:type="paragraph" w:styleId="TOC4">
    <w:name w:val="toc 4"/>
    <w:basedOn w:val="TOCBase"/>
    <w:next w:val="Normal"/>
    <w:semiHidden/>
    <w:rsid w:val="00CC1021"/>
    <w:pPr>
      <w:tabs>
        <w:tab w:val="right" w:leader="dot" w:pos="9071"/>
      </w:tabs>
      <w:ind w:left="1701"/>
    </w:pPr>
  </w:style>
  <w:style w:type="paragraph" w:customStyle="1" w:styleId="ListAlpha">
    <w:name w:val="List Alpha"/>
    <w:basedOn w:val="List"/>
    <w:rsid w:val="00CC1021"/>
    <w:pPr>
      <w:numPr>
        <w:numId w:val="9"/>
      </w:numPr>
    </w:pPr>
  </w:style>
  <w:style w:type="paragraph" w:customStyle="1" w:styleId="ListAlpha2">
    <w:name w:val="List Alpha 2"/>
    <w:basedOn w:val="List2"/>
    <w:rsid w:val="00CC1021"/>
    <w:pPr>
      <w:numPr>
        <w:numId w:val="8"/>
      </w:numPr>
    </w:pPr>
  </w:style>
  <w:style w:type="paragraph" w:styleId="List2">
    <w:name w:val="List 2"/>
    <w:basedOn w:val="BodyText"/>
    <w:rsid w:val="00CC1021"/>
    <w:pPr>
      <w:tabs>
        <w:tab w:val="left" w:pos="680"/>
      </w:tabs>
      <w:spacing w:before="60" w:after="60"/>
      <w:ind w:left="680" w:hanging="340"/>
    </w:pPr>
  </w:style>
  <w:style w:type="paragraph" w:styleId="List3">
    <w:name w:val="List 3"/>
    <w:basedOn w:val="BodyText"/>
    <w:rsid w:val="00CC1021"/>
    <w:pPr>
      <w:tabs>
        <w:tab w:val="left" w:pos="1021"/>
      </w:tabs>
      <w:spacing w:before="60" w:after="60"/>
      <w:ind w:left="1020" w:hanging="340"/>
    </w:pPr>
  </w:style>
  <w:style w:type="paragraph" w:styleId="List4">
    <w:name w:val="List 4"/>
    <w:basedOn w:val="BodyText"/>
    <w:rsid w:val="00CC1021"/>
    <w:pPr>
      <w:tabs>
        <w:tab w:val="left" w:pos="1361"/>
      </w:tabs>
      <w:spacing w:before="60" w:after="60"/>
      <w:ind w:left="1361" w:hanging="340"/>
    </w:pPr>
  </w:style>
  <w:style w:type="paragraph" w:styleId="List5">
    <w:name w:val="List 5"/>
    <w:basedOn w:val="BodyText"/>
    <w:rsid w:val="00CC1021"/>
    <w:pPr>
      <w:tabs>
        <w:tab w:val="left" w:pos="1701"/>
      </w:tabs>
      <w:spacing w:before="60" w:after="60"/>
      <w:ind w:left="1701" w:hanging="340"/>
    </w:pPr>
  </w:style>
  <w:style w:type="paragraph" w:styleId="ListBullet3">
    <w:name w:val="List Bullet 3"/>
    <w:basedOn w:val="List3"/>
    <w:rsid w:val="00CC1021"/>
    <w:pPr>
      <w:numPr>
        <w:numId w:val="14"/>
      </w:numPr>
      <w:tabs>
        <w:tab w:val="clear" w:pos="1021"/>
      </w:tabs>
      <w:ind w:left="1037" w:hanging="357"/>
    </w:pPr>
  </w:style>
  <w:style w:type="paragraph" w:styleId="ListBullet4">
    <w:name w:val="List Bullet 4"/>
    <w:basedOn w:val="List4"/>
    <w:rsid w:val="00CC1021"/>
    <w:pPr>
      <w:numPr>
        <w:numId w:val="3"/>
      </w:numPr>
      <w:tabs>
        <w:tab w:val="clear" w:pos="1361"/>
      </w:tabs>
    </w:pPr>
  </w:style>
  <w:style w:type="paragraph" w:styleId="ListBullet5">
    <w:name w:val="List Bullet 5"/>
    <w:basedOn w:val="List5"/>
    <w:rsid w:val="00CC1021"/>
    <w:pPr>
      <w:numPr>
        <w:numId w:val="4"/>
      </w:numPr>
    </w:pPr>
  </w:style>
  <w:style w:type="paragraph" w:styleId="ListContinue2">
    <w:name w:val="List Continue 2"/>
    <w:basedOn w:val="List2"/>
    <w:rsid w:val="00CC1021"/>
    <w:pPr>
      <w:ind w:firstLine="0"/>
    </w:pPr>
  </w:style>
  <w:style w:type="paragraph" w:styleId="ListContinue3">
    <w:name w:val="List Continue 3"/>
    <w:basedOn w:val="List3"/>
    <w:rsid w:val="00CC1021"/>
    <w:pPr>
      <w:ind w:left="1021" w:firstLine="0"/>
    </w:pPr>
  </w:style>
  <w:style w:type="paragraph" w:styleId="ListContinue4">
    <w:name w:val="List Continue 4"/>
    <w:basedOn w:val="List4"/>
    <w:rsid w:val="00CC1021"/>
    <w:pPr>
      <w:ind w:firstLine="0"/>
    </w:pPr>
  </w:style>
  <w:style w:type="paragraph" w:styleId="ListContinue5">
    <w:name w:val="List Continue 5"/>
    <w:basedOn w:val="List5"/>
    <w:rsid w:val="00CC1021"/>
    <w:pPr>
      <w:ind w:firstLine="0"/>
    </w:pPr>
  </w:style>
  <w:style w:type="paragraph" w:styleId="ListNumber3">
    <w:name w:val="List Number 3"/>
    <w:basedOn w:val="List3"/>
    <w:rsid w:val="00CC1021"/>
    <w:pPr>
      <w:numPr>
        <w:numId w:val="5"/>
      </w:numPr>
    </w:pPr>
  </w:style>
  <w:style w:type="paragraph" w:styleId="ListNumber4">
    <w:name w:val="List Number 4"/>
    <w:basedOn w:val="List4"/>
    <w:rsid w:val="00CC1021"/>
    <w:pPr>
      <w:numPr>
        <w:numId w:val="6"/>
      </w:numPr>
    </w:pPr>
  </w:style>
  <w:style w:type="paragraph" w:styleId="ListNumber5">
    <w:name w:val="List Number 5"/>
    <w:basedOn w:val="List5"/>
    <w:rsid w:val="00CC1021"/>
    <w:pPr>
      <w:numPr>
        <w:numId w:val="7"/>
      </w:numPr>
    </w:pPr>
  </w:style>
  <w:style w:type="paragraph" w:styleId="BlockText">
    <w:name w:val="Block Text"/>
    <w:basedOn w:val="Normal"/>
    <w:rsid w:val="00CC1021"/>
    <w:pPr>
      <w:spacing w:after="120"/>
      <w:ind w:left="1440" w:right="1440"/>
    </w:pPr>
  </w:style>
  <w:style w:type="character" w:customStyle="1" w:styleId="Subscript">
    <w:name w:val="Subscript"/>
    <w:basedOn w:val="DefaultParagraphFont"/>
    <w:rsid w:val="00CC1021"/>
    <w:rPr>
      <w:sz w:val="16"/>
      <w:vertAlign w:val="subscript"/>
    </w:rPr>
  </w:style>
  <w:style w:type="character" w:customStyle="1" w:styleId="Superscript">
    <w:name w:val="Superscript"/>
    <w:basedOn w:val="DefaultParagraphFont"/>
    <w:rsid w:val="00CC1021"/>
    <w:rPr>
      <w:sz w:val="16"/>
      <w:vertAlign w:val="superscript"/>
    </w:rPr>
  </w:style>
  <w:style w:type="character" w:customStyle="1" w:styleId="Symbols">
    <w:name w:val="Symbols"/>
    <w:basedOn w:val="DefaultParagraphFont"/>
    <w:rsid w:val="00CC1021"/>
    <w:rPr>
      <w:rFonts w:ascii="Symbol" w:hAnsi="Symbol"/>
    </w:rPr>
  </w:style>
  <w:style w:type="character" w:customStyle="1" w:styleId="MenuOptions">
    <w:name w:val="Menu Options"/>
    <w:basedOn w:val="DefaultParagraphFont"/>
    <w:rsid w:val="00CC1021"/>
    <w:rPr>
      <w:rFonts w:ascii="Arial Narrow" w:hAnsi="Arial Narrow"/>
      <w:smallCaps/>
    </w:rPr>
  </w:style>
  <w:style w:type="character" w:customStyle="1" w:styleId="Buttons">
    <w:name w:val="Buttons"/>
    <w:basedOn w:val="DefaultParagraphFont"/>
    <w:rsid w:val="00CC1021"/>
    <w:rPr>
      <w:b/>
    </w:rPr>
  </w:style>
  <w:style w:type="character" w:customStyle="1" w:styleId="Underlined">
    <w:name w:val="Underlined"/>
    <w:basedOn w:val="DefaultParagraphFont"/>
    <w:rsid w:val="00CC1021"/>
    <w:rPr>
      <w:u w:val="single"/>
    </w:rPr>
  </w:style>
  <w:style w:type="paragraph" w:customStyle="1" w:styleId="TableBodyTextRight">
    <w:name w:val="Table Body Text Right"/>
    <w:basedOn w:val="TableBodyText"/>
    <w:rsid w:val="00CC1021"/>
    <w:pPr>
      <w:widowControl w:val="0"/>
      <w:autoSpaceDE w:val="0"/>
      <w:autoSpaceDN w:val="0"/>
      <w:adjustRightInd w:val="0"/>
      <w:jc w:val="right"/>
    </w:pPr>
    <w:rPr>
      <w:rFonts w:cs="Arial"/>
      <w:szCs w:val="18"/>
    </w:rPr>
  </w:style>
  <w:style w:type="paragraph" w:customStyle="1" w:styleId="CopyrightText">
    <w:name w:val="Copyright Text"/>
    <w:basedOn w:val="BodyText"/>
    <w:rsid w:val="00CC1021"/>
    <w:rPr>
      <w:sz w:val="18"/>
    </w:rPr>
  </w:style>
  <w:style w:type="paragraph" w:customStyle="1" w:styleId="BodySmallRight">
    <w:name w:val="Body Small Right"/>
    <w:basedOn w:val="BodyTextRight"/>
    <w:rsid w:val="00CC1021"/>
    <w:rPr>
      <w:sz w:val="18"/>
      <w:szCs w:val="18"/>
    </w:rPr>
  </w:style>
  <w:style w:type="paragraph" w:customStyle="1" w:styleId="MarginEdition">
    <w:name w:val="Margin Edition"/>
    <w:basedOn w:val="MarginNote"/>
    <w:rsid w:val="00CC1021"/>
    <w:pPr>
      <w:spacing w:before="0" w:after="0"/>
    </w:pPr>
    <w:rPr>
      <w:rFonts w:ascii="Times New Roman" w:hAnsi="Times New Roman"/>
      <w:color w:val="999999"/>
    </w:rPr>
  </w:style>
  <w:style w:type="paragraph" w:customStyle="1" w:styleId="Spacer">
    <w:name w:val="Spacer"/>
    <w:basedOn w:val="Normal"/>
    <w:rsid w:val="00CC1021"/>
    <w:rPr>
      <w:sz w:val="2"/>
      <w:szCs w:val="2"/>
    </w:rPr>
  </w:style>
  <w:style w:type="character" w:customStyle="1" w:styleId="Small">
    <w:name w:val="Small"/>
    <w:basedOn w:val="DefaultParagraphFont"/>
    <w:rsid w:val="00CC1021"/>
    <w:rPr>
      <w:sz w:val="16"/>
    </w:rPr>
  </w:style>
  <w:style w:type="paragraph" w:customStyle="1" w:styleId="WideTable">
    <w:name w:val="Wide Table"/>
    <w:basedOn w:val="Normal"/>
    <w:rsid w:val="00CC1021"/>
    <w:pPr>
      <w:ind w:left="-1418"/>
    </w:pPr>
    <w:rPr>
      <w:sz w:val="2"/>
      <w:szCs w:val="2"/>
    </w:rPr>
  </w:style>
  <w:style w:type="character" w:styleId="PageNumber">
    <w:name w:val="page number"/>
    <w:basedOn w:val="DefaultParagraphFont"/>
    <w:rsid w:val="00CC1021"/>
  </w:style>
  <w:style w:type="paragraph" w:styleId="Quote">
    <w:name w:val="Quote"/>
    <w:basedOn w:val="Heading1"/>
    <w:link w:val="QuoteChar"/>
    <w:qFormat/>
    <w:rsid w:val="00CC1021"/>
    <w:rPr>
      <w:b w:val="0"/>
      <w:sz w:val="72"/>
      <w:szCs w:val="72"/>
      <w:lang w:val="en-NZ"/>
    </w:rPr>
  </w:style>
  <w:style w:type="character" w:customStyle="1" w:styleId="QuoteChar">
    <w:name w:val="Quote Char"/>
    <w:basedOn w:val="DefaultParagraphFont"/>
    <w:link w:val="Quote"/>
    <w:rsid w:val="00CC1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021"/>
    <w:pPr>
      <w:pageBreakBefore/>
    </w:pPr>
  </w:style>
  <w:style w:type="paragraph" w:customStyle="1" w:styleId="Border">
    <w:name w:val="Border"/>
    <w:basedOn w:val="Normal"/>
    <w:qFormat/>
    <w:rsid w:val="00CC1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021"/>
    <w:rPr>
      <w:b/>
      <w:bCs/>
      <w:i/>
      <w:iCs/>
      <w:color w:val="auto"/>
    </w:rPr>
  </w:style>
  <w:style w:type="paragraph" w:styleId="IntenseQuote">
    <w:name w:val="Intense Quote"/>
    <w:basedOn w:val="Normal"/>
    <w:next w:val="Normal"/>
    <w:link w:val="IntenseQuoteChar"/>
    <w:uiPriority w:val="30"/>
    <w:qFormat/>
    <w:rsid w:val="00CC1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021"/>
    <w:rPr>
      <w:smallCaps/>
      <w:color w:val="auto"/>
      <w:u w:val="single"/>
    </w:rPr>
  </w:style>
  <w:style w:type="character" w:styleId="IntenseReference">
    <w:name w:val="Intense Reference"/>
    <w:basedOn w:val="DefaultParagraphFont"/>
    <w:uiPriority w:val="32"/>
    <w:qFormat/>
    <w:rsid w:val="00CC1021"/>
    <w:rPr>
      <w:b/>
      <w:bCs/>
      <w:smallCaps/>
      <w:color w:val="auto"/>
      <w:spacing w:val="5"/>
      <w:u w:val="single"/>
    </w:rPr>
  </w:style>
  <w:style w:type="paragraph" w:customStyle="1" w:styleId="2ColumnHeading">
    <w:name w:val="2Column Heading"/>
    <w:basedOn w:val="BodyText"/>
    <w:qFormat/>
    <w:rsid w:val="00CC1021"/>
    <w:pPr>
      <w:spacing w:after="60"/>
      <w:ind w:left="-2268"/>
    </w:pPr>
    <w:rPr>
      <w:b/>
    </w:rPr>
  </w:style>
  <w:style w:type="paragraph" w:customStyle="1" w:styleId="Heading1TOC">
    <w:name w:val="Heading1 TOC"/>
    <w:basedOn w:val="Normal"/>
    <w:qFormat/>
    <w:rsid w:val="00CC1021"/>
    <w:pPr>
      <w:spacing w:before="240" w:after="120"/>
    </w:pPr>
    <w:rPr>
      <w:rFonts w:ascii="Times New Roman" w:hAnsi="Times New Roman"/>
      <w:b/>
      <w:sz w:val="32"/>
    </w:rPr>
  </w:style>
  <w:style w:type="paragraph" w:customStyle="1" w:styleId="Heading2TOC">
    <w:name w:val="Heading2 TOC"/>
    <w:basedOn w:val="Normal"/>
    <w:qFormat/>
    <w:rsid w:val="00CC1021"/>
    <w:pPr>
      <w:spacing w:before="240" w:after="60"/>
    </w:pPr>
    <w:rPr>
      <w:rFonts w:ascii="Times New Roman" w:hAnsi="Times New Roman"/>
      <w:b/>
      <w:sz w:val="28"/>
    </w:rPr>
  </w:style>
  <w:style w:type="character" w:customStyle="1" w:styleId="Underline">
    <w:name w:val="Underline"/>
    <w:basedOn w:val="DefaultParagraphFont"/>
    <w:qFormat/>
    <w:rsid w:val="00CC1021"/>
    <w:rPr>
      <w:u w:val="single"/>
    </w:rPr>
  </w:style>
  <w:style w:type="character" w:customStyle="1" w:styleId="BoldandItalics">
    <w:name w:val="Bold and Italics"/>
    <w:qFormat/>
    <w:rsid w:val="00CC1021"/>
    <w:rPr>
      <w:b/>
      <w:i/>
      <w:u w:val="none"/>
    </w:rPr>
  </w:style>
  <w:style w:type="paragraph" w:styleId="BalloonText">
    <w:name w:val="Balloon Text"/>
    <w:basedOn w:val="Normal"/>
    <w:link w:val="BalloonTextChar"/>
    <w:rsid w:val="00CC1021"/>
    <w:rPr>
      <w:rFonts w:ascii="Tahoma" w:hAnsi="Tahoma" w:cs="Tahoma"/>
      <w:sz w:val="16"/>
      <w:szCs w:val="16"/>
    </w:rPr>
  </w:style>
  <w:style w:type="character" w:customStyle="1" w:styleId="BalloonTextChar">
    <w:name w:val="Balloon Text Char"/>
    <w:basedOn w:val="DefaultParagraphFont"/>
    <w:link w:val="BalloonText"/>
    <w:rsid w:val="00CC1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021"/>
    <w:rPr>
      <w:b/>
      <w:color w:val="660033"/>
      <w:spacing w:val="0"/>
    </w:rPr>
  </w:style>
  <w:style w:type="paragraph" w:customStyle="1" w:styleId="Nameditemlist">
    <w:name w:val="Named item list"/>
    <w:basedOn w:val="BodyText"/>
    <w:qFormat/>
    <w:rsid w:val="00CC1021"/>
    <w:pPr>
      <w:tabs>
        <w:tab w:val="left" w:pos="2835"/>
      </w:tabs>
      <w:ind w:left="2835" w:hanging="2835"/>
    </w:pPr>
  </w:style>
  <w:style w:type="paragraph" w:customStyle="1" w:styleId="BodyTextnopadding">
    <w:name w:val="Body Text no padding"/>
    <w:basedOn w:val="BodyText"/>
    <w:qFormat/>
    <w:rsid w:val="00CC1021"/>
    <w:pPr>
      <w:spacing w:before="0" w:after="0"/>
    </w:pPr>
  </w:style>
  <w:style w:type="paragraph" w:customStyle="1" w:styleId="BodyTextBold">
    <w:name w:val="Body Text Bold"/>
    <w:basedOn w:val="BodyText"/>
    <w:qFormat/>
    <w:rsid w:val="00CC1021"/>
    <w:rPr>
      <w:b/>
    </w:rPr>
  </w:style>
  <w:style w:type="character" w:styleId="Hyperlink">
    <w:name w:val="Hyperlink"/>
    <w:basedOn w:val="DefaultParagraphFont"/>
    <w:uiPriority w:val="99"/>
    <w:unhideWhenUsed/>
    <w:rsid w:val="00F06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3658</Characters>
  <Application>Microsoft Office Word</Application>
  <DocSecurity>0</DocSecurity>
  <Lines>114</Lines>
  <Paragraphs>92</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HLTANA001 Prepare clients for anaesthesia</dc:title>
  <dc:subject>Approved</dc:subject>
  <dc:creator>SkillsIQ</dc:creator>
  <cp:keywords>Release: 2</cp:keywords>
  <dc:description>Review Date: 12 April 2008</dc:description>
  <cp:lastModifiedBy>HSD_TPCMSd.prod</cp:lastModifiedBy>
  <cp:revision>3</cp:revision>
  <dcterms:created xsi:type="dcterms:W3CDTF">2022-04-08T08:48:00Z</dcterms:created>
  <dcterms:modified xsi:type="dcterms:W3CDTF">2022-04-08T08:48:00Z</dcterms:modified>
</cp:coreProperties>
</file>