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7E78" w:rsidP="00187E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HLTAMB009 Deliver intensive clinical care</w:t>
      </w:r>
      <w:r>
        <w:fldChar w:fldCharType="end"/>
      </w:r>
    </w:p>
    <w:p w:rsidR="00187E78" w:rsidP="00187E78">
      <w:pPr>
        <w:pStyle w:val="Version"/>
        <w:sectPr w:rsidSect="00B072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720F" w:rsidP="00B0720F">
      <w:pPr>
        <w:pStyle w:val="SuperHeading"/>
      </w:pPr>
      <w:r w:rsidRPr="00B0720F">
        <w:t>HLTAMB009 Deliver intensive clinical care</w:t>
      </w:r>
    </w:p>
    <w:p w:rsidR="00000000" w:rsidRPr="00B0720F" w:rsidP="00B0720F">
      <w:pPr>
        <w:pStyle w:val="Heading1"/>
      </w:pPr>
      <w:bookmarkStart w:id="1" w:name="O_818853"/>
      <w:bookmarkEnd w:id="1"/>
      <w:r w:rsidRPr="00B072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187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 xml:space="preserve">Release </w:t>
            </w:r>
            <w:r w:rsidRPr="00B0720F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 xml:space="preserve">Comments </w:t>
            </w:r>
          </w:p>
        </w:tc>
      </w:tr>
      <w:tr w:rsidTr="00187E7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 xml:space="preserve">This version was released in </w:t>
            </w:r>
            <w:r w:rsidRPr="00B0720F">
              <w:rPr>
                <w:rStyle w:val="Emphasis"/>
              </w:rPr>
              <w:t>HLT Health Training Package release 3.0</w:t>
            </w:r>
            <w:r w:rsidRPr="00B0720F">
              <w:t xml:space="preserve"> and meets the requirements of the 2012 Standards for Training Packages.</w:t>
            </w:r>
          </w:p>
          <w:p w:rsidR="00000000" w:rsidRPr="00B0720F" w:rsidP="00B0720F">
            <w:pPr>
              <w:pStyle w:val="BodyText"/>
            </w:pPr>
            <w:r w:rsidRPr="00B0720F">
              <w:t xml:space="preserve"> Supersedes HLTAMBCR603B</w:t>
            </w:r>
          </w:p>
          <w:p w:rsidR="00000000" w:rsidRPr="00B0720F" w:rsidP="00B0720F">
            <w:pPr>
              <w:pStyle w:val="BodyText"/>
            </w:pPr>
            <w:r w:rsidRPr="00B0720F">
              <w:t>Minimal changes to the elements and pe</w:t>
            </w:r>
            <w:r w:rsidRPr="00B0720F">
              <w:t xml:space="preserve">rformance criteria. New evidence requirements for assessment including volume and frequency requirements. Removal of pre-requisites. </w:t>
            </w:r>
          </w:p>
        </w:tc>
      </w:tr>
    </w:tbl>
    <w:p w:rsidR="00000000" w:rsidRPr="00B0720F" w:rsidP="00B0720F">
      <w:pPr>
        <w:pStyle w:val="BodyText"/>
      </w:pPr>
    </w:p>
    <w:p w:rsidR="00000000" w:rsidRPr="00B0720F" w:rsidP="00B0720F">
      <w:pPr>
        <w:pStyle w:val="AllowPageBreak"/>
      </w:pPr>
    </w:p>
    <w:p w:rsidR="00000000" w:rsidRPr="00B0720F" w:rsidP="00B0720F">
      <w:pPr>
        <w:pStyle w:val="Heading1"/>
      </w:pPr>
      <w:bookmarkStart w:id="2" w:name="O_818854"/>
      <w:bookmarkEnd w:id="2"/>
      <w:r w:rsidRPr="00B0720F">
        <w:t>Application</w:t>
      </w:r>
    </w:p>
    <w:p w:rsidR="00000000" w:rsidRPr="00B0720F" w:rsidP="00187E78">
      <w:pPr>
        <w:pStyle w:val="BodyText"/>
      </w:pPr>
      <w:r w:rsidRPr="00B0720F">
        <w:t>This unit of competency describes the skills and knowledge required to deliver advanced cli</w:t>
      </w:r>
      <w:r w:rsidRPr="00B0720F">
        <w:t xml:space="preserve">nical pre-hospital/out-of-hospital patient care at a specialised level by assessing the needs of a patient, planning and administering intensive clinical care, and monitoring the state of the patient. </w:t>
      </w:r>
    </w:p>
    <w:p w:rsidR="00000000" w:rsidRPr="00B0720F" w:rsidP="00187E78">
      <w:pPr>
        <w:pStyle w:val="BodyText"/>
      </w:pPr>
      <w:r w:rsidRPr="00B0720F">
        <w:t>This unit applies to pre-hospital/out-of-hospital hea</w:t>
      </w:r>
      <w:r w:rsidRPr="00B0720F">
        <w:t>lth care workers. Workers follow established clinical guidelines and protocols and work independently, applying specialised knowledge of pathophysiology and pharmacology to perform intensive clinical care.</w:t>
      </w:r>
    </w:p>
    <w:p w:rsidR="00187E78" w:rsidRPr="00187E78" w:rsidP="00187E78">
      <w:pPr>
        <w:pStyle w:val="BodyText"/>
        <w:rPr>
          <w:i/>
        </w:rPr>
      </w:pPr>
      <w:r w:rsidRPr="00187E78">
        <w:rPr>
          <w:rStyle w:val="Emphasis"/>
        </w:rPr>
        <w:t>The skills in this unit must be applied in accord</w:t>
      </w:r>
      <w:r w:rsidRPr="00187E78">
        <w:rPr>
          <w:rStyle w:val="Emphasis"/>
        </w:rPr>
        <w:t>ance with Commonwealth and State/Territory legislation, Australian/New Zealand Standards and industry codes of practice.</w:t>
      </w:r>
    </w:p>
    <w:p w:rsidR="00000000" w:rsidRPr="00B0720F" w:rsidP="00B0720F">
      <w:pPr>
        <w:pStyle w:val="Heading1"/>
      </w:pPr>
      <w:bookmarkStart w:id="3" w:name="O_818858"/>
      <w:bookmarkEnd w:id="3"/>
      <w:r w:rsidRPr="00B0720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691"/>
      </w:tblGrid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rPr>
                <w:rStyle w:val="SpecialBold"/>
              </w:rPr>
              <w:t>ELEMENT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rPr>
                <w:rStyle w:val="SpecialBold"/>
              </w:rPr>
              <w:t>PERFORMANCE CRITERIA</w:t>
            </w: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Elements define the essential outcomes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Performance criteria describe the performance needed to demonstrate achievement of the element.</w:t>
            </w: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1. Assess need for specialised intervention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>1.1 Assess patient on the basis of a high level of clinical knowledge and a high level of contemporary clinical evi</w:t>
            </w:r>
            <w:r w:rsidRPr="00B0720F">
              <w:t>dence based practice</w:t>
            </w:r>
          </w:p>
          <w:p w:rsidR="00000000" w:rsidRPr="00B0720F" w:rsidP="00B0720F">
            <w:pPr>
              <w:pStyle w:val="BodyText"/>
            </w:pPr>
            <w:r w:rsidRPr="00B0720F">
              <w:t>1.2 Confirm that assessment of the need for specialised intervention is based on a demonstrable and clearly thought out series of problem-solving steps or linkages</w:t>
            </w:r>
          </w:p>
          <w:p w:rsidR="00000000" w:rsidRPr="00B0720F" w:rsidP="00B0720F">
            <w:pPr>
              <w:pStyle w:val="BodyText"/>
            </w:pPr>
            <w:r w:rsidRPr="00B0720F">
              <w:t xml:space="preserve">1.3 Analyse and explain the patient assessment process when subject to </w:t>
            </w:r>
            <w:r w:rsidRPr="00B0720F">
              <w:t>clinical audit</w:t>
            </w:r>
          </w:p>
          <w:p w:rsidR="00000000" w:rsidP="00B0720F">
            <w:pPr>
              <w:pStyle w:val="BodyText"/>
              <w:rPr>
                <w:lang w:val="en-NZ"/>
              </w:rPr>
            </w:pP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2. Analyse information from clinical assessment to make a judgement about specialised pre-hospital/out-of-hospital patient care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>2.1 Use systematic evaluation of patient assessment to interpret and make judgements regarding specialised patient care requirements</w:t>
            </w:r>
          </w:p>
          <w:p w:rsidR="00000000" w:rsidRPr="00B0720F" w:rsidP="00B0720F">
            <w:pPr>
              <w:pStyle w:val="BodyText"/>
            </w:pPr>
            <w:r w:rsidRPr="00B0720F">
              <w:t>2.2 Confirm judgement is in line with high level contemporary evidence based practice and organisation clinical practice gu</w:t>
            </w:r>
            <w:r w:rsidRPr="00B0720F">
              <w:t>idelines/protocols</w:t>
            </w:r>
          </w:p>
          <w:p w:rsidR="00000000" w:rsidRPr="00B0720F" w:rsidP="00B0720F">
            <w:pPr>
              <w:pStyle w:val="BodyText"/>
            </w:pPr>
            <w:r w:rsidRPr="00B0720F">
              <w:t>2.3 Justify that the judgement, which forms the basis on which specialised treatment is planned, is reasonable in terms of the information available at the time</w:t>
            </w:r>
          </w:p>
          <w:p w:rsidR="00000000" w:rsidP="00B0720F">
            <w:pPr>
              <w:pStyle w:val="BodyText"/>
              <w:rPr>
                <w:lang w:val="en-NZ"/>
              </w:rPr>
            </w:pP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3. Plan specialised pre-hospital/out-of-hospital patient care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>3.1  Establi</w:t>
            </w:r>
            <w:r w:rsidRPr="00B0720F">
              <w:t>sh priorities of care, based on assessment of the total scene and drawing on specialised knowledge and experience</w:t>
            </w:r>
          </w:p>
          <w:p w:rsidR="00000000" w:rsidRPr="00B0720F" w:rsidP="00B0720F">
            <w:pPr>
              <w:pStyle w:val="BodyText"/>
            </w:pPr>
            <w:r w:rsidRPr="00B0720F">
              <w:t>3.2 Recognise and interpret mechanisms of injury and potential for patient deterioration in conjunction with factors inherent in patient’s con</w:t>
            </w:r>
            <w:r w:rsidRPr="00B0720F">
              <w:t>dition, environment and potential impact of procedures or movement</w:t>
            </w:r>
          </w:p>
          <w:p w:rsidR="00000000" w:rsidRPr="00B0720F" w:rsidP="00B0720F">
            <w:pPr>
              <w:pStyle w:val="BodyText"/>
            </w:pPr>
            <w:r w:rsidRPr="00B0720F">
              <w:t>3.3 Develop contingency plans, based on mechanisms of injury and potential for patient deterioration</w:t>
            </w:r>
          </w:p>
          <w:p w:rsidR="00000000" w:rsidRPr="00B0720F" w:rsidP="00B0720F">
            <w:pPr>
              <w:pStyle w:val="BodyText"/>
            </w:pPr>
            <w:r w:rsidRPr="00B0720F">
              <w:t>3.4 Establish patient management plan, based on analysis of the scene and the patient an</w:t>
            </w:r>
            <w:r w:rsidRPr="00B0720F">
              <w:t>d drawing on high level clinical knowledge</w:t>
            </w:r>
          </w:p>
          <w:p w:rsidR="00000000" w:rsidRPr="00B0720F" w:rsidP="00B0720F">
            <w:pPr>
              <w:pStyle w:val="BodyText"/>
            </w:pPr>
            <w:r w:rsidRPr="00B0720F">
              <w:t>3.5 Determine patient’s potential or actual time criticality versus transport criticality</w:t>
            </w:r>
          </w:p>
          <w:p w:rsidR="00000000" w:rsidP="00B0720F">
            <w:pPr>
              <w:pStyle w:val="BodyText"/>
              <w:rPr>
                <w:lang w:val="en-NZ"/>
              </w:rPr>
            </w:pP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4. Implement procedures for specialised pre-hospital/out-of-hospital patient care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>4.1 Commence all patient care procedure</w:t>
            </w:r>
            <w:r w:rsidRPr="00B0720F">
              <w:t>s and pharmacological therapies as patient’s presenting condition determines, with reference to local clinical and legislative guidelines and pharmacological requirements</w:t>
            </w:r>
          </w:p>
          <w:p w:rsidR="00000000" w:rsidRPr="00B0720F" w:rsidP="00B0720F">
            <w:pPr>
              <w:pStyle w:val="BodyText"/>
            </w:pPr>
            <w:r w:rsidRPr="00B0720F">
              <w:t>4.2 Confirm all actions are in accordance with established clinical guidelines and pr</w:t>
            </w:r>
            <w:r w:rsidRPr="00B0720F">
              <w:t>otocols.</w:t>
            </w:r>
          </w:p>
          <w:p w:rsidR="00000000" w:rsidRPr="00B0720F" w:rsidP="00B0720F">
            <w:pPr>
              <w:pStyle w:val="BodyText"/>
            </w:pPr>
            <w:r w:rsidRPr="00B0720F">
              <w:t>4.3 Consult and collaborate with designated medical authorities as required</w:t>
            </w:r>
          </w:p>
          <w:p w:rsidR="00000000" w:rsidP="00B0720F">
            <w:pPr>
              <w:pStyle w:val="BodyText"/>
              <w:rPr>
                <w:lang w:val="en-NZ"/>
              </w:rPr>
            </w:pP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 xml:space="preserve">5. Monitor specialised </w:t>
            </w:r>
            <w:r w:rsidRPr="00B0720F">
              <w:t>pre-hospital/out-of-hospital patient care and modify as required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 xml:space="preserve">5.1 Monitor all aspects of patient’s condition including </w:t>
            </w:r>
            <w:r w:rsidRPr="00B0720F">
              <w:t>vital signs at appropria</w:t>
            </w:r>
            <w:r w:rsidRPr="00B0720F">
              <w:t>te intervals to establish trends in terms of specialised procedures, interventions or knowledge</w:t>
            </w:r>
          </w:p>
          <w:p w:rsidR="00000000" w:rsidRPr="00B0720F" w:rsidP="00B0720F">
            <w:pPr>
              <w:pStyle w:val="BodyText"/>
            </w:pPr>
            <w:r w:rsidRPr="00B0720F">
              <w:t xml:space="preserve">5.2 Assess potential effects of procedures implemented on patient’s condition </w:t>
            </w:r>
          </w:p>
          <w:p w:rsidR="00000000" w:rsidRPr="00B0720F" w:rsidP="00B0720F">
            <w:pPr>
              <w:pStyle w:val="BodyText"/>
            </w:pPr>
            <w:r w:rsidRPr="00B0720F">
              <w:t>5.3 Monitor pharmacological therapy noting effectiveness of treatment regime, and</w:t>
            </w:r>
            <w:r w:rsidRPr="00B0720F">
              <w:t xml:space="preserve"> amend according to patient’s condition</w:t>
            </w:r>
          </w:p>
          <w:p w:rsidR="00000000" w:rsidRPr="00B0720F" w:rsidP="00B0720F">
            <w:pPr>
              <w:pStyle w:val="BodyText"/>
            </w:pPr>
            <w:r w:rsidRPr="00B0720F">
              <w:t xml:space="preserve">5.4 Recognise changes in patient’s condition and adapt management according to the scope or authority to practice of the attending officer </w:t>
            </w:r>
          </w:p>
          <w:p w:rsidR="00000000" w:rsidRPr="00B0720F" w:rsidP="00B0720F">
            <w:pPr>
              <w:pStyle w:val="BodyText"/>
            </w:pPr>
            <w:r w:rsidRPr="00B0720F">
              <w:t xml:space="preserve">5.5 Recognise the need for assistance and seek help immediately where the situation or patient’s condition requires treatment outside the scope or authority to practice of the attending officer </w:t>
            </w:r>
          </w:p>
          <w:p w:rsidR="00000000" w:rsidRPr="00B0720F" w:rsidP="00B0720F">
            <w:pPr>
              <w:pStyle w:val="BodyText"/>
            </w:pPr>
            <w:r w:rsidRPr="00B0720F">
              <w:t>5.6 Maintain and/or modify treatment, according to patient ne</w:t>
            </w:r>
            <w:r w:rsidRPr="00B0720F">
              <w:t>ed as determined by the re-assessment process</w:t>
            </w:r>
          </w:p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ab/>
            </w:r>
          </w:p>
        </w:tc>
      </w:tr>
      <w:tr w:rsidTr="00187E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t>6. Hand over patient requiring specialised care</w:t>
            </w:r>
          </w:p>
        </w:tc>
        <w:tc>
          <w:tcPr>
            <w:tcW w:w="56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>6.1 Document relevant patient details according to organisation clinical practice guidelines/protocols</w:t>
            </w:r>
          </w:p>
          <w:p w:rsidR="00000000" w:rsidRPr="00B0720F" w:rsidP="00B0720F">
            <w:pPr>
              <w:pStyle w:val="BodyText"/>
            </w:pPr>
            <w:r w:rsidRPr="00B0720F">
              <w:t>6.2 Maintain patient confidentiality at all times</w:t>
            </w:r>
          </w:p>
          <w:p w:rsidR="00000000" w:rsidRPr="00B0720F" w:rsidP="00B0720F">
            <w:pPr>
              <w:pStyle w:val="BodyText"/>
            </w:pPr>
            <w:r w:rsidRPr="00B0720F">
              <w:t>6.3 En</w:t>
            </w:r>
            <w:r w:rsidRPr="00B0720F">
              <w:t>sure documentation for handover procedures conveys all necessary information</w:t>
            </w:r>
          </w:p>
          <w:p w:rsidR="00000000" w:rsidRPr="00B0720F" w:rsidP="00B0720F">
            <w:pPr>
              <w:pStyle w:val="BodyText"/>
            </w:pPr>
            <w:r w:rsidRPr="00B0720F">
              <w:t>6.4 Convey information appropriately to those individuals involved in ongoing patient care to facilitate understanding and optimise continuing patient care</w:t>
            </w:r>
          </w:p>
          <w:p w:rsidR="00000000" w:rsidRPr="00B0720F" w:rsidP="00B0720F">
            <w:pPr>
              <w:pStyle w:val="BodyText"/>
            </w:pPr>
            <w:r w:rsidRPr="00B0720F">
              <w:t>6.5 Maintain patient ca</w:t>
            </w:r>
            <w:r w:rsidRPr="00B0720F">
              <w:t>re until responsibility for patient care is taken over by staff of the receiving agency</w:t>
            </w:r>
          </w:p>
        </w:tc>
      </w:tr>
    </w:tbl>
    <w:p w:rsidR="00000000" w:rsidRPr="00B0720F" w:rsidP="00B0720F">
      <w:pPr>
        <w:pStyle w:val="BodyText"/>
      </w:pPr>
    </w:p>
    <w:p w:rsidR="00000000" w:rsidRPr="00B0720F" w:rsidP="00B0720F">
      <w:pPr>
        <w:pStyle w:val="AllowPageBreak"/>
      </w:pPr>
    </w:p>
    <w:p w:rsidR="00000000" w:rsidRPr="00B0720F" w:rsidP="00B0720F">
      <w:pPr>
        <w:pStyle w:val="Heading1"/>
      </w:pPr>
      <w:bookmarkStart w:id="4" w:name="O_818859"/>
      <w:bookmarkEnd w:id="4"/>
      <w:r w:rsidRPr="00B0720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0"/>
      </w:tblGrid>
      <w:tr w:rsidTr="00B0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720F">
            <w:pPr>
              <w:pStyle w:val="BodyText"/>
              <w:rPr>
                <w:lang w:val="en-NZ"/>
              </w:rPr>
            </w:pPr>
            <w:r w:rsidRPr="00B0720F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B0720F">
              <w:t xml:space="preserve">skills) that are essential </w:t>
            </w:r>
            <w:r w:rsidRPr="00B0720F">
              <w:rPr>
                <w:rStyle w:val="Emphasis"/>
              </w:rPr>
              <w:t>to per</w:t>
            </w:r>
            <w:r w:rsidRPr="00B0720F">
              <w:rPr>
                <w:rStyle w:val="Emphasis"/>
              </w:rPr>
              <w:t>formance.</w:t>
            </w:r>
          </w:p>
        </w:tc>
      </w:tr>
      <w:tr w:rsidTr="00B0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720F" w:rsidP="00B0720F">
            <w:pPr>
              <w:pStyle w:val="BodyText"/>
            </w:pPr>
            <w:r w:rsidRPr="00B0720F">
              <w:t>Foundation skills essential to performance are explicit in the performance criteria of this unit of competency.</w:t>
            </w:r>
          </w:p>
        </w:tc>
      </w:tr>
    </w:tbl>
    <w:p w:rsidR="00187E78" w:rsidP="00B0720F">
      <w:pPr>
        <w:pStyle w:val="BodyText"/>
      </w:pPr>
    </w:p>
    <w:p w:rsidR="00187E78" w:rsidP="00B0720F">
      <w:pPr>
        <w:pStyle w:val="BodyText"/>
      </w:pPr>
    </w:p>
    <w:p w:rsidR="00000000" w:rsidRPr="00B0720F" w:rsidP="00B0720F">
      <w:pPr>
        <w:pStyle w:val="Heading1"/>
      </w:pPr>
      <w:bookmarkStart w:id="5" w:name="O_818861"/>
      <w:bookmarkEnd w:id="5"/>
      <w:r w:rsidRPr="00B0720F">
        <w:t>Unit Mapping Information</w:t>
      </w:r>
    </w:p>
    <w:p w:rsidR="00000000" w:rsidRPr="00B0720F" w:rsidP="00187E78">
      <w:pPr>
        <w:pStyle w:val="BodyText"/>
      </w:pPr>
      <w:r w:rsidRPr="00B0720F">
        <w:t>No Equivalent Unit</w:t>
      </w:r>
    </w:p>
    <w:p w:rsidR="00000000" w:rsidRPr="00B0720F" w:rsidP="00B0720F">
      <w:pPr>
        <w:pStyle w:val="Heading1"/>
      </w:pPr>
      <w:bookmarkStart w:id="6" w:name="O_818868"/>
      <w:bookmarkEnd w:id="6"/>
      <w:r w:rsidRPr="00B0720F">
        <w:t>Links</w:t>
      </w:r>
    </w:p>
    <w:p w:rsidR="00000000" w:rsidRPr="00B0720F" w:rsidP="00187E78">
      <w:pPr>
        <w:pStyle w:val="BodyText"/>
      </w:pPr>
      <w:r w:rsidRPr="00B072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0785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B0720F" w:rsidP="00B0720F"/>
    <w:sectPr w:rsidSect="00B072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F" w:rsidRPr="00187E78" w:rsidP="00187E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78" w:rsidP="00B072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7E78" w:rsidP="00B072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7E78" w:rsidP="00B072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720F" w:rsidRPr="00187E78" w:rsidP="00187E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2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7E78" w:rsidRPr="002D2AF8" w:rsidP="00B072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HLTAMB009 Deliver intensive clinical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October 2020</w:t>
    </w:r>
    <w:r>
      <w:fldChar w:fldCharType="end"/>
    </w:r>
  </w:p>
  <w:p w:rsidR="00187E78" w:rsidP="00B072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72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72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72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72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72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72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72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72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72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72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72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720F"/>
  </w:style>
  <w:style w:type="character" w:customStyle="1" w:styleId="Heading1Char">
    <w:name w:val="Heading 1 Char"/>
    <w:basedOn w:val="DefaultParagraphFont"/>
    <w:link w:val="Heading1"/>
    <w:rsid w:val="00B072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72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720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0720F"/>
    <w:rPr>
      <w:b/>
      <w:spacing w:val="0"/>
    </w:rPr>
  </w:style>
  <w:style w:type="character" w:styleId="Emphasis">
    <w:name w:val="Emphasis"/>
    <w:basedOn w:val="DefaultParagraphFont"/>
    <w:qFormat/>
    <w:rsid w:val="00B0720F"/>
    <w:rPr>
      <w:i/>
    </w:rPr>
  </w:style>
  <w:style w:type="paragraph" w:customStyle="1" w:styleId="SuperHeading">
    <w:name w:val="SuperHeading"/>
    <w:basedOn w:val="Normal"/>
    <w:rsid w:val="00B072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72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72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72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72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7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72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7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72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72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72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72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72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72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72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72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72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72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72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72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72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72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072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72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72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72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72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72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72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72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72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72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72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72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72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72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72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72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72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720F"/>
  </w:style>
  <w:style w:type="paragraph" w:styleId="TableofFigures">
    <w:name w:val="table of figures"/>
    <w:basedOn w:val="Normal"/>
    <w:next w:val="Normal"/>
    <w:semiHidden/>
    <w:rsid w:val="00B072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72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0720F"/>
    <w:rPr>
      <w:rFonts w:ascii="Wingdings" w:hAnsi="Wingdings"/>
    </w:rPr>
  </w:style>
  <w:style w:type="paragraph" w:customStyle="1" w:styleId="TableHeading">
    <w:name w:val="Table Heading"/>
    <w:basedOn w:val="HeadingBase"/>
    <w:rsid w:val="00B072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720F"/>
    <w:rPr>
      <w:color w:val="0033CC"/>
      <w:u w:val="none"/>
    </w:rPr>
  </w:style>
  <w:style w:type="paragraph" w:customStyle="1" w:styleId="BodyTextRight">
    <w:name w:val="Body Text Right"/>
    <w:basedOn w:val="BodyText"/>
    <w:rsid w:val="00B072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72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72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72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72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72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720F"/>
    <w:rPr>
      <w:sz w:val="32"/>
    </w:rPr>
  </w:style>
  <w:style w:type="paragraph" w:customStyle="1" w:styleId="HeadingProcedure">
    <w:name w:val="Heading Procedure"/>
    <w:basedOn w:val="HeadingBase"/>
    <w:next w:val="Normal"/>
    <w:rsid w:val="00B072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720F"/>
    <w:pPr>
      <w:spacing w:before="60" w:after="60"/>
    </w:pPr>
  </w:style>
  <w:style w:type="paragraph" w:styleId="ListContinue">
    <w:name w:val="List Continue"/>
    <w:basedOn w:val="List"/>
    <w:rsid w:val="00B0720F"/>
    <w:pPr>
      <w:ind w:firstLine="0"/>
    </w:pPr>
  </w:style>
  <w:style w:type="paragraph" w:customStyle="1" w:styleId="ListNote">
    <w:name w:val="List Note"/>
    <w:basedOn w:val="List"/>
    <w:rsid w:val="00B072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72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72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720F"/>
    <w:rPr>
      <w:rFonts w:ascii="Courier New" w:hAnsi="Courier New"/>
    </w:rPr>
  </w:style>
  <w:style w:type="paragraph" w:customStyle="1" w:styleId="NoteBullet">
    <w:name w:val="Note Bullet"/>
    <w:basedOn w:val="Note"/>
    <w:rsid w:val="00B072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72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72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72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72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072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72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720F"/>
    <w:rPr>
      <w:b/>
      <w:smallCaps/>
    </w:rPr>
  </w:style>
  <w:style w:type="paragraph" w:customStyle="1" w:styleId="TableListNumber">
    <w:name w:val="Table List Number"/>
    <w:basedOn w:val="ListNumber"/>
    <w:rsid w:val="00B072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72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720F"/>
    <w:pPr>
      <w:numPr>
        <w:numId w:val="7"/>
      </w:numPr>
    </w:pPr>
  </w:style>
  <w:style w:type="paragraph" w:customStyle="1" w:styleId="ListAlpha2">
    <w:name w:val="List Alpha 2"/>
    <w:basedOn w:val="List2"/>
    <w:rsid w:val="00B0720F"/>
    <w:pPr>
      <w:numPr>
        <w:numId w:val="6"/>
      </w:numPr>
    </w:pPr>
  </w:style>
  <w:style w:type="paragraph" w:styleId="List2">
    <w:name w:val="List 2"/>
    <w:basedOn w:val="BodyText"/>
    <w:rsid w:val="00B072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72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72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72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72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72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0720F"/>
    <w:pPr>
      <w:numPr>
        <w:numId w:val="2"/>
      </w:numPr>
    </w:pPr>
  </w:style>
  <w:style w:type="paragraph" w:styleId="ListContinue2">
    <w:name w:val="List Continue 2"/>
    <w:basedOn w:val="List2"/>
    <w:rsid w:val="00B0720F"/>
    <w:pPr>
      <w:ind w:firstLine="0"/>
    </w:pPr>
  </w:style>
  <w:style w:type="paragraph" w:styleId="ListContinue3">
    <w:name w:val="List Continue 3"/>
    <w:basedOn w:val="List3"/>
    <w:rsid w:val="00B0720F"/>
    <w:pPr>
      <w:ind w:left="1021" w:firstLine="0"/>
    </w:pPr>
  </w:style>
  <w:style w:type="paragraph" w:styleId="ListContinue4">
    <w:name w:val="List Continue 4"/>
    <w:basedOn w:val="List4"/>
    <w:rsid w:val="00B0720F"/>
    <w:pPr>
      <w:ind w:firstLine="0"/>
    </w:pPr>
  </w:style>
  <w:style w:type="paragraph" w:styleId="ListContinue5">
    <w:name w:val="List Continue 5"/>
    <w:basedOn w:val="List5"/>
    <w:rsid w:val="00B0720F"/>
    <w:pPr>
      <w:ind w:firstLine="0"/>
    </w:pPr>
  </w:style>
  <w:style w:type="paragraph" w:styleId="ListNumber3">
    <w:name w:val="List Number 3"/>
    <w:basedOn w:val="List3"/>
    <w:rsid w:val="00B0720F"/>
    <w:pPr>
      <w:numPr>
        <w:numId w:val="3"/>
      </w:numPr>
    </w:pPr>
  </w:style>
  <w:style w:type="paragraph" w:styleId="ListNumber4">
    <w:name w:val="List Number 4"/>
    <w:basedOn w:val="List4"/>
    <w:rsid w:val="00B0720F"/>
    <w:pPr>
      <w:numPr>
        <w:numId w:val="4"/>
      </w:numPr>
    </w:pPr>
  </w:style>
  <w:style w:type="paragraph" w:styleId="ListNumber5">
    <w:name w:val="List Number 5"/>
    <w:basedOn w:val="List5"/>
    <w:rsid w:val="00B0720F"/>
    <w:pPr>
      <w:numPr>
        <w:numId w:val="5"/>
      </w:numPr>
    </w:pPr>
  </w:style>
  <w:style w:type="paragraph" w:styleId="BlockText">
    <w:name w:val="Block Text"/>
    <w:basedOn w:val="Normal"/>
    <w:rsid w:val="00B072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72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720F"/>
    <w:rPr>
      <w:sz w:val="16"/>
      <w:vertAlign w:val="superscript"/>
    </w:rPr>
  </w:style>
  <w:style w:type="character" w:customStyle="1" w:styleId="Symbols">
    <w:name w:val="Symbols"/>
    <w:basedOn w:val="DefaultParagraphFont"/>
    <w:rsid w:val="00B0720F"/>
    <w:rPr>
      <w:rFonts w:ascii="Symbol" w:hAnsi="Symbol"/>
    </w:rPr>
  </w:style>
  <w:style w:type="character" w:customStyle="1" w:styleId="MenuOptions">
    <w:name w:val="Menu Options"/>
    <w:basedOn w:val="DefaultParagraphFont"/>
    <w:rsid w:val="00B072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720F"/>
    <w:rPr>
      <w:b/>
    </w:rPr>
  </w:style>
  <w:style w:type="character" w:customStyle="1" w:styleId="Underlined">
    <w:name w:val="Underlined"/>
    <w:basedOn w:val="DefaultParagraphFont"/>
    <w:rsid w:val="00B0720F"/>
    <w:rPr>
      <w:u w:val="single"/>
    </w:rPr>
  </w:style>
  <w:style w:type="paragraph" w:customStyle="1" w:styleId="TableBodyTextRight">
    <w:name w:val="Table Body Text Right"/>
    <w:basedOn w:val="TableBodyText"/>
    <w:rsid w:val="00B072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720F"/>
    <w:rPr>
      <w:sz w:val="18"/>
    </w:rPr>
  </w:style>
  <w:style w:type="paragraph" w:customStyle="1" w:styleId="BodySmallRight">
    <w:name w:val="Body Small Right"/>
    <w:basedOn w:val="BodyTextRight"/>
    <w:rsid w:val="00B0720F"/>
    <w:rPr>
      <w:sz w:val="18"/>
      <w:szCs w:val="18"/>
    </w:rPr>
  </w:style>
  <w:style w:type="paragraph" w:customStyle="1" w:styleId="MarginEdition">
    <w:name w:val="Margin Edition"/>
    <w:basedOn w:val="MarginNote"/>
    <w:rsid w:val="00B072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720F"/>
    <w:rPr>
      <w:sz w:val="2"/>
      <w:szCs w:val="2"/>
    </w:rPr>
  </w:style>
  <w:style w:type="character" w:customStyle="1" w:styleId="Small">
    <w:name w:val="Small"/>
    <w:basedOn w:val="DefaultParagraphFont"/>
    <w:rsid w:val="00B0720F"/>
    <w:rPr>
      <w:sz w:val="16"/>
    </w:rPr>
  </w:style>
  <w:style w:type="paragraph" w:customStyle="1" w:styleId="WideTable">
    <w:name w:val="Wide Table"/>
    <w:basedOn w:val="Normal"/>
    <w:rsid w:val="00B072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720F"/>
  </w:style>
  <w:style w:type="paragraph" w:styleId="Quote">
    <w:name w:val="Quote"/>
    <w:basedOn w:val="Heading1"/>
    <w:link w:val="QuoteChar"/>
    <w:qFormat/>
    <w:rsid w:val="00B072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72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720F"/>
    <w:pPr>
      <w:pageBreakBefore/>
    </w:pPr>
  </w:style>
  <w:style w:type="paragraph" w:customStyle="1" w:styleId="Border">
    <w:name w:val="Border"/>
    <w:basedOn w:val="Normal"/>
    <w:qFormat/>
    <w:rsid w:val="00B072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72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72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72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72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72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72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72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72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720F"/>
    <w:rPr>
      <w:u w:val="single"/>
    </w:rPr>
  </w:style>
  <w:style w:type="character" w:customStyle="1" w:styleId="BoldandItalics">
    <w:name w:val="Bold and Italics"/>
    <w:qFormat/>
    <w:rsid w:val="00B0720F"/>
    <w:rPr>
      <w:b/>
      <w:i/>
      <w:u w:val="none"/>
    </w:rPr>
  </w:style>
  <w:style w:type="paragraph" w:styleId="BalloonText">
    <w:name w:val="Balloon Text"/>
    <w:basedOn w:val="Normal"/>
    <w:link w:val="BalloonTextChar"/>
    <w:rsid w:val="00B072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72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72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72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72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72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720F"/>
    <w:pPr>
      <w:spacing w:before="0" w:after="0"/>
    </w:pPr>
  </w:style>
  <w:style w:type="paragraph" w:customStyle="1" w:styleId="BodyTextBold">
    <w:name w:val="Body Text Bold"/>
    <w:basedOn w:val="BodyText"/>
    <w:qFormat/>
    <w:rsid w:val="00B0720F"/>
    <w:rPr>
      <w:b/>
    </w:rPr>
  </w:style>
  <w:style w:type="character" w:styleId="Hyperlink">
    <w:name w:val="Hyperlink"/>
    <w:basedOn w:val="DefaultParagraphFont"/>
    <w:uiPriority w:val="99"/>
    <w:unhideWhenUsed/>
    <w:rsid w:val="00187E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4954</Characters>
  <Application>Microsoft Office Word</Application>
  <DocSecurity>0</DocSecurity>
  <Lines>150</Lines>
  <Paragraphs>67</Paragraphs>
  <ScaleCrop>false</ScaleCrop>
  <Company>Author-it Software Corporation Ltd.</Company>
  <LinksUpToDate>false</LinksUpToDate>
  <CharactersWithSpaces>5644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HLTAMB009 Deliver intensive clinical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2020-10-16T05:39:00Z</dcterms:created>
  <dcterms:modified xsi:type="dcterms:W3CDTF">2020-10-16T05:39:00Z</dcterms:modified>
</cp:coreProperties>
</file>