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F38" w:rsidP="00362F38">
      <w:pPr>
        <w:pStyle w:val="Title"/>
      </w:pPr>
      <w:r>
        <w:fldChar w:fldCharType="begin"/>
      </w:r>
      <w:r>
        <w:instrText xml:space="preserve"> TITLE   \* MERGEFORMAT </w:instrText>
      </w:r>
      <w:r>
        <w:fldChar w:fldCharType="separate"/>
      </w:r>
      <w:r>
        <w:t>Assessment Requirements for HLTAMB009 Deliver intensive clinical care</w:t>
      </w:r>
      <w:r>
        <w:fldChar w:fldCharType="end"/>
      </w:r>
    </w:p>
    <w:p w:rsidR="00362F38" w:rsidP="00362F38">
      <w:pPr>
        <w:pStyle w:val="Version"/>
        <w:sectPr w:rsidSect="00633B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BC3" w:rsidP="00633BC3">
      <w:pPr>
        <w:pStyle w:val="SuperHeading"/>
      </w:pPr>
      <w:r w:rsidRPr="00633BC3">
        <w:t>Assessment Requirements for HLTAMB009 Deliver intensive clinical care</w:t>
      </w:r>
    </w:p>
    <w:p w:rsidR="00000000" w:rsidRPr="00633BC3" w:rsidP="00633BC3">
      <w:pPr>
        <w:pStyle w:val="Heading1"/>
      </w:pPr>
      <w:bookmarkStart w:id="1" w:name="O_818863"/>
      <w:bookmarkEnd w:id="1"/>
      <w:r w:rsidRPr="00633BC3">
        <w:t>Modification History</w:t>
      </w:r>
    </w:p>
    <w:tbl>
      <w:tblPr>
        <w:tblW w:w="0" w:type="auto"/>
        <w:tblCellMar>
          <w:left w:w="62" w:type="dxa"/>
          <w:right w:w="62" w:type="dxa"/>
        </w:tblCellMar>
        <w:tblLook w:val="0000"/>
      </w:tblPr>
      <w:tblGrid>
        <w:gridCol w:w="2147"/>
        <w:gridCol w:w="7049"/>
      </w:tblGrid>
      <w:tr w:rsidTr="00362F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BC3">
            <w:pPr>
              <w:pStyle w:val="BodyText"/>
              <w:rPr>
                <w:lang w:val="en-NZ"/>
              </w:rPr>
            </w:pPr>
            <w:r w:rsidRPr="00633BC3">
              <w:t xml:space="preserve">Release </w:t>
            </w:r>
            <w:r w:rsidRPr="00633BC3">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BC3">
            <w:pPr>
              <w:pStyle w:val="BodyText"/>
              <w:rPr>
                <w:lang w:val="en-NZ"/>
              </w:rPr>
            </w:pPr>
            <w:r w:rsidRPr="00633BC3">
              <w:t xml:space="preserve">Comments </w:t>
            </w:r>
          </w:p>
        </w:tc>
      </w:tr>
      <w:tr w:rsidTr="00362F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BC3">
            <w:pPr>
              <w:pStyle w:val="BodyText"/>
              <w:rPr>
                <w:lang w:val="en-NZ"/>
              </w:rPr>
            </w:pPr>
            <w:r w:rsidRPr="00633BC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BC3" w:rsidP="00633BC3">
            <w:pPr>
              <w:pStyle w:val="BodyText"/>
            </w:pPr>
            <w:r w:rsidRPr="00633BC3">
              <w:t xml:space="preserve">This version was released in </w:t>
            </w:r>
            <w:r w:rsidRPr="00633BC3">
              <w:rPr>
                <w:rStyle w:val="Emphasis"/>
              </w:rPr>
              <w:t>HLT Health Training Package release 3.0</w:t>
            </w:r>
            <w:r w:rsidRPr="00633BC3">
              <w:t xml:space="preserve"> and meets the requirements of the 2012 Standards for Training Packages.</w:t>
            </w:r>
          </w:p>
          <w:p w:rsidR="00000000" w:rsidRPr="00633BC3" w:rsidP="00633BC3">
            <w:pPr>
              <w:pStyle w:val="BodyText"/>
            </w:pPr>
            <w:r w:rsidRPr="00633BC3">
              <w:t xml:space="preserve"> Supersedes HLTAMBCR603B</w:t>
            </w:r>
          </w:p>
          <w:p w:rsidR="00000000" w:rsidRPr="00633BC3" w:rsidP="00633BC3">
            <w:pPr>
              <w:pStyle w:val="BodyText"/>
            </w:pPr>
            <w:r w:rsidRPr="00633BC3">
              <w:t>Minimal changes to the elements and performance criteria. New evidence requirements for assessment including volume and frequency requirements. Removal of pre</w:t>
            </w:r>
            <w:r w:rsidRPr="00633BC3">
              <w:t>-requisites.</w:t>
            </w:r>
          </w:p>
        </w:tc>
      </w:tr>
    </w:tbl>
    <w:p w:rsidR="00000000" w:rsidRPr="00633BC3" w:rsidP="00633BC3">
      <w:pPr>
        <w:pStyle w:val="BodyText"/>
      </w:pPr>
    </w:p>
    <w:p w:rsidR="00000000" w:rsidRPr="00633BC3" w:rsidP="00633BC3">
      <w:pPr>
        <w:pStyle w:val="AllowPageBreak"/>
      </w:pPr>
    </w:p>
    <w:p w:rsidR="00000000" w:rsidRPr="00633BC3" w:rsidP="00633BC3">
      <w:pPr>
        <w:pStyle w:val="Heading1"/>
      </w:pPr>
      <w:bookmarkStart w:id="2" w:name="O_818864"/>
      <w:bookmarkEnd w:id="2"/>
      <w:r w:rsidRPr="00633BC3">
        <w:t>Performance Evidence</w:t>
      </w:r>
    </w:p>
    <w:p w:rsidR="00000000" w:rsidRPr="00633BC3" w:rsidP="00362F38">
      <w:pPr>
        <w:pStyle w:val="BodyText"/>
      </w:pPr>
      <w:r w:rsidRPr="00633BC3">
        <w:t>The candidate must show evidence of the ability to complete tasks outlined in elements and performance criteria of this unit, manage tasks and manage contingencies in the context of the job role. There m</w:t>
      </w:r>
      <w:r w:rsidRPr="00633BC3">
        <w:t>ust be evidence that the candidate has:</w:t>
      </w:r>
    </w:p>
    <w:p w:rsidR="00000000" w:rsidRPr="00633BC3" w:rsidP="00633BC3">
      <w:pPr>
        <w:pStyle w:val="List"/>
      </w:pPr>
      <w:r w:rsidRPr="00633BC3">
        <w:t>•</w:t>
      </w:r>
      <w:r w:rsidRPr="00633BC3">
        <w:tab/>
        <w:t xml:space="preserve">performed the activities outlined in the performance criteria of this unit during at least 80 hours under clinical supervision in the workplace </w:t>
      </w:r>
    </w:p>
    <w:p w:rsidR="00000000" w:rsidRPr="00633BC3" w:rsidP="00633BC3">
      <w:pPr>
        <w:pStyle w:val="List"/>
      </w:pPr>
      <w:r w:rsidRPr="00633BC3">
        <w:t>•</w:t>
      </w:r>
      <w:r w:rsidRPr="00633BC3">
        <w:tab/>
        <w:t>delivered intensive clinical care in the workplace to 1 person to d</w:t>
      </w:r>
      <w:r w:rsidRPr="00633BC3">
        <w:t>etect and correct any immediate life threatening conditions including:</w:t>
      </w:r>
    </w:p>
    <w:p w:rsidR="00000000" w:rsidRPr="00633BC3" w:rsidP="00633BC3">
      <w:pPr>
        <w:pStyle w:val="List2"/>
      </w:pPr>
      <w:r>
        <w:t>•</w:t>
      </w:r>
      <w:r>
        <w:tab/>
      </w:r>
      <w:r w:rsidRPr="00633BC3">
        <w:t>demonstrating the capacity to take into account subtle factors affecting the patient’s condition, from a broad range of areas</w:t>
      </w:r>
    </w:p>
    <w:p w:rsidR="00000000" w:rsidRPr="00633BC3" w:rsidP="00633BC3">
      <w:pPr>
        <w:pStyle w:val="List2"/>
      </w:pPr>
      <w:r>
        <w:t>•</w:t>
      </w:r>
      <w:r>
        <w:tab/>
      </w:r>
      <w:r w:rsidRPr="00633BC3">
        <w:t>making sound judgements on provision of patient care ba</w:t>
      </w:r>
      <w:r w:rsidRPr="00633BC3">
        <w:t>sed on pathophysiology and pharmacology knowledge</w:t>
      </w:r>
    </w:p>
    <w:p w:rsidR="00000000" w:rsidRPr="00633BC3" w:rsidP="00633BC3">
      <w:pPr>
        <w:pStyle w:val="List2"/>
      </w:pPr>
      <w:r>
        <w:t>•</w:t>
      </w:r>
      <w:r>
        <w:tab/>
      </w:r>
      <w:r w:rsidRPr="00633BC3">
        <w:t>applying advanced skills to provide appropriate care for complex clinical conditions</w:t>
      </w:r>
    </w:p>
    <w:p w:rsidR="00000000" w:rsidRPr="00633BC3" w:rsidP="00633BC3">
      <w:pPr>
        <w:pStyle w:val="List2"/>
      </w:pPr>
      <w:r>
        <w:t>•</w:t>
      </w:r>
      <w:r>
        <w:tab/>
      </w:r>
      <w:r w:rsidRPr="00633BC3">
        <w:t>applying the clinical problem-solving process as it applies to specialised patient care</w:t>
      </w:r>
    </w:p>
    <w:p w:rsidR="00000000" w:rsidRPr="00633BC3" w:rsidP="00633BC3">
      <w:pPr>
        <w:pStyle w:val="List"/>
      </w:pPr>
      <w:r w:rsidRPr="00633BC3">
        <w:t>•</w:t>
      </w:r>
      <w:r w:rsidRPr="00633BC3">
        <w:tab/>
      </w:r>
      <w:r w:rsidRPr="00633BC3">
        <w:t>performed each of the following 5 intensive clinical care interventions in the workplace or in a simulated environment, which are procedures approved for specialised patient care based upon organisation policies and procedures and in accordance with establ</w:t>
      </w:r>
      <w:r w:rsidRPr="00633BC3">
        <w:t>ished clinical guidelines/protocols:</w:t>
      </w:r>
    </w:p>
    <w:p w:rsidR="00000000" w:rsidRPr="00633BC3" w:rsidP="00633BC3">
      <w:pPr>
        <w:pStyle w:val="List2"/>
      </w:pPr>
      <w:r w:rsidRPr="00633BC3">
        <w:t>­ applied leads, recorded and interpreted an electrocardiograph (ECG) to analyse cardiac dysrhythmia performed an endotracheal intubation for airway management</w:t>
      </w:r>
    </w:p>
    <w:p w:rsidR="00000000" w:rsidRPr="00633BC3" w:rsidP="00633BC3">
      <w:pPr>
        <w:pStyle w:val="List2"/>
      </w:pPr>
      <w:r w:rsidRPr="00633BC3">
        <w:t>­ performed intravenous (IV) cannulation to provide intrave</w:t>
      </w:r>
      <w:r w:rsidRPr="00633BC3">
        <w:t>nous fluid therapy</w:t>
      </w:r>
    </w:p>
    <w:p w:rsidR="00000000" w:rsidRPr="00633BC3" w:rsidP="00633BC3">
      <w:pPr>
        <w:pStyle w:val="List2"/>
      </w:pPr>
      <w:r w:rsidRPr="00633BC3">
        <w:t>­ performed intraosseous (IO) needle insertion to provide a non-collapsible entry point into the systemic venous system for fluid therapy</w:t>
      </w:r>
    </w:p>
    <w:p w:rsidR="00000000" w:rsidRPr="00633BC3" w:rsidP="00633BC3">
      <w:pPr>
        <w:pStyle w:val="List2"/>
      </w:pPr>
      <w:r w:rsidRPr="00633BC3">
        <w:t xml:space="preserve">­ performed decompression of a tension pneumothorax with a needle </w:t>
      </w:r>
    </w:p>
    <w:p w:rsidR="00000000" w:rsidRPr="00633BC3" w:rsidP="00633BC3">
      <w:pPr>
        <w:pStyle w:val="List2"/>
      </w:pPr>
      <w:r w:rsidRPr="00633BC3">
        <w:t>­ performed defibrillation for a</w:t>
      </w:r>
      <w:r w:rsidRPr="00633BC3">
        <w:t xml:space="preserve"> cardiac condition</w:t>
      </w:r>
    </w:p>
    <w:p w:rsidR="00362F38" w:rsidP="00633BC3">
      <w:pPr>
        <w:pStyle w:val="List"/>
      </w:pPr>
      <w:r w:rsidRPr="00633BC3">
        <w:t>•</w:t>
      </w:r>
      <w:r w:rsidRPr="00633BC3">
        <w:tab/>
        <w:t>administered pharmacological therapy in the workplace to 1 patient according to established clinical guidelines and protocols.</w:t>
      </w:r>
    </w:p>
    <w:p w:rsidR="00362F38" w:rsidP="00633BC3">
      <w:pPr>
        <w:pStyle w:val="List"/>
      </w:pPr>
    </w:p>
    <w:p w:rsidR="00000000" w:rsidRPr="00633BC3" w:rsidP="00633BC3">
      <w:pPr>
        <w:pStyle w:val="Heading1"/>
      </w:pPr>
      <w:bookmarkStart w:id="3" w:name="O_818865"/>
      <w:bookmarkEnd w:id="3"/>
      <w:r w:rsidRPr="00633BC3">
        <w:t>Knowledge Evidence</w:t>
      </w:r>
    </w:p>
    <w:p w:rsidR="00000000" w:rsidRPr="00633BC3" w:rsidP="00362F38">
      <w:pPr>
        <w:pStyle w:val="BodyText"/>
      </w:pPr>
      <w:r w:rsidRPr="00633BC3">
        <w:t xml:space="preserve">The candidate must be able to demonstrate essential knowledge required </w:t>
      </w:r>
      <w:r w:rsidRPr="00633BC3">
        <w:t>to effectively complete tasks outlined in elements and performance criteria of this unit, manage tasks and manage contingencies in the context of the work role. This includes knowledge of:</w:t>
      </w:r>
    </w:p>
    <w:p w:rsidR="00000000" w:rsidRPr="00633BC3" w:rsidP="00633BC3">
      <w:pPr>
        <w:pStyle w:val="List"/>
      </w:pPr>
      <w:r w:rsidRPr="00633BC3">
        <w:t>•</w:t>
      </w:r>
      <w:r w:rsidRPr="00633BC3">
        <w:tab/>
        <w:t>specialised patient care in the field of pre-hospital/out-of-hosp</w:t>
      </w:r>
      <w:r w:rsidRPr="00633BC3">
        <w:t xml:space="preserve">ital care – detailed knowledge to enable accurate judgement and service delivery </w:t>
      </w:r>
    </w:p>
    <w:p w:rsidR="00000000" w:rsidRPr="00633BC3" w:rsidP="00633BC3">
      <w:pPr>
        <w:pStyle w:val="List"/>
      </w:pPr>
      <w:r w:rsidRPr="00633BC3">
        <w:t>•</w:t>
      </w:r>
      <w:r w:rsidRPr="00633BC3">
        <w:tab/>
        <w:t>the structure and function of major organs (detailed and appropriate to this level) including a detailed understanding of heart structure and function (including electrophy</w:t>
      </w:r>
      <w:r w:rsidRPr="00633BC3">
        <w:t>siology, dysrhythmias)</w:t>
      </w:r>
    </w:p>
    <w:p w:rsidR="00000000" w:rsidRPr="00633BC3" w:rsidP="00633BC3">
      <w:pPr>
        <w:pStyle w:val="List"/>
      </w:pPr>
      <w:r w:rsidRPr="00633BC3">
        <w:t>•</w:t>
      </w:r>
      <w:r w:rsidRPr="00633BC3">
        <w:tab/>
        <w:t>cell transport systems</w:t>
      </w:r>
    </w:p>
    <w:p w:rsidR="00000000" w:rsidRPr="00633BC3" w:rsidP="00633BC3">
      <w:pPr>
        <w:pStyle w:val="List"/>
      </w:pPr>
      <w:r w:rsidRPr="00633BC3">
        <w:t>•</w:t>
      </w:r>
      <w:r w:rsidRPr="00633BC3">
        <w:tab/>
        <w:t>pharmacological processes and actions, indications and contraindications (appropriate to this level)</w:t>
      </w:r>
    </w:p>
    <w:p w:rsidR="00000000" w:rsidRPr="00633BC3" w:rsidP="00633BC3">
      <w:pPr>
        <w:pStyle w:val="List"/>
      </w:pPr>
      <w:r w:rsidRPr="00633BC3">
        <w:t>•</w:t>
      </w:r>
      <w:r w:rsidRPr="00633BC3">
        <w:tab/>
        <w:t>cellular respiration (glycolysis, Krebs’s Cycle, electron transport chain) and ATP production</w:t>
      </w:r>
    </w:p>
    <w:p w:rsidR="00000000" w:rsidRPr="00633BC3" w:rsidP="00633BC3">
      <w:pPr>
        <w:pStyle w:val="List"/>
      </w:pPr>
      <w:r w:rsidRPr="00633BC3">
        <w:t>•</w:t>
      </w:r>
      <w:r w:rsidRPr="00633BC3">
        <w:tab/>
        <w:t xml:space="preserve">how to </w:t>
      </w:r>
      <w:r w:rsidRPr="00633BC3">
        <w:t>recognise the signs and symptoms of a broad range of clinical conditions and the (provisional) diagnosis of same</w:t>
      </w:r>
    </w:p>
    <w:p w:rsidR="00000000" w:rsidRPr="00633BC3" w:rsidP="00633BC3">
      <w:pPr>
        <w:pStyle w:val="List"/>
      </w:pPr>
      <w:r w:rsidRPr="00633BC3">
        <w:t>•</w:t>
      </w:r>
      <w:r w:rsidRPr="00633BC3">
        <w:tab/>
        <w:t>advanced comprehension of trauma issues</w:t>
      </w:r>
    </w:p>
    <w:p w:rsidR="00000000" w:rsidRPr="00633BC3" w:rsidP="00633BC3">
      <w:pPr>
        <w:pStyle w:val="List"/>
      </w:pPr>
      <w:r w:rsidRPr="00633BC3">
        <w:t>•</w:t>
      </w:r>
      <w:r w:rsidRPr="00633BC3">
        <w:tab/>
        <w:t>medical emergencies (advanced understanding including diving, altitude, temperature, overdose and p</w:t>
      </w:r>
      <w:r w:rsidRPr="00633BC3">
        <w:t>oisoning, crush injuries and obstetrics)</w:t>
      </w:r>
    </w:p>
    <w:p w:rsidR="00000000" w:rsidRPr="00633BC3" w:rsidP="00633BC3">
      <w:pPr>
        <w:pStyle w:val="List"/>
      </w:pPr>
      <w:r w:rsidRPr="00633BC3">
        <w:t>•</w:t>
      </w:r>
      <w:r w:rsidRPr="00633BC3">
        <w:tab/>
        <w:t>effects of intrinsic factors (such as age, health) and extrinsic factors (such as environment, medications) on patient condition and treatment</w:t>
      </w:r>
    </w:p>
    <w:p w:rsidR="00000000" w:rsidRPr="00633BC3" w:rsidP="00633BC3">
      <w:pPr>
        <w:pStyle w:val="List"/>
      </w:pPr>
      <w:r w:rsidRPr="00633BC3">
        <w:t>•</w:t>
      </w:r>
      <w:r w:rsidRPr="00633BC3">
        <w:tab/>
        <w:t>human maintenance systems (including immunity and haemostasis)</w:t>
      </w:r>
    </w:p>
    <w:p w:rsidR="00000000" w:rsidRPr="00633BC3" w:rsidP="00633BC3">
      <w:pPr>
        <w:pStyle w:val="List"/>
      </w:pPr>
      <w:r w:rsidRPr="00633BC3">
        <w:t>•</w:t>
      </w:r>
      <w:r w:rsidRPr="00633BC3">
        <w:tab/>
        <w:t>spe</w:t>
      </w:r>
      <w:r w:rsidRPr="00633BC3">
        <w:t xml:space="preserve">cialised patient care procedures and equipment used according to established clinical guidelines and protocols including IV and IO interventions used for fluid, blood and medication therapy </w:t>
      </w:r>
    </w:p>
    <w:p w:rsidR="00000000" w:rsidRPr="00633BC3" w:rsidP="00633BC3">
      <w:pPr>
        <w:pStyle w:val="List"/>
      </w:pPr>
      <w:r w:rsidRPr="00633BC3">
        <w:t>•</w:t>
      </w:r>
      <w:r w:rsidRPr="00633BC3">
        <w:tab/>
        <w:t>patient social and emotional wellbeing related to trauma</w:t>
      </w:r>
    </w:p>
    <w:p w:rsidR="00000000" w:rsidRPr="00633BC3" w:rsidP="00633BC3">
      <w:pPr>
        <w:pStyle w:val="List"/>
      </w:pPr>
      <w:r w:rsidRPr="00633BC3">
        <w:t>•</w:t>
      </w:r>
      <w:r w:rsidRPr="00633BC3">
        <w:tab/>
        <w:t>rece</w:t>
      </w:r>
      <w:r w:rsidRPr="00633BC3">
        <w:t>iving facility requirements or how to access these requirements</w:t>
      </w:r>
    </w:p>
    <w:p w:rsidR="00000000" w:rsidRPr="00633BC3" w:rsidP="00633BC3">
      <w:pPr>
        <w:pStyle w:val="List"/>
      </w:pPr>
      <w:r w:rsidRPr="00633BC3">
        <w:t>•</w:t>
      </w:r>
      <w:r w:rsidRPr="00633BC3">
        <w:tab/>
        <w:t>function of documentation being provided</w:t>
      </w:r>
    </w:p>
    <w:p w:rsidR="00000000" w:rsidRPr="00633BC3" w:rsidP="00633BC3">
      <w:pPr>
        <w:pStyle w:val="List"/>
      </w:pPr>
      <w:r w:rsidRPr="00633BC3">
        <w:t>•</w:t>
      </w:r>
      <w:r w:rsidRPr="00633BC3">
        <w:tab/>
      </w:r>
      <w:r w:rsidRPr="00633BC3">
        <w:t>national and State/Territory legal and ethical requirements and considerations for emergency health care workers relevant to pre-hospital/out-of-hospital care, and how these are applied in organisations including:</w:t>
      </w:r>
    </w:p>
    <w:p w:rsidR="00000000" w:rsidRPr="00633BC3" w:rsidP="00633BC3">
      <w:pPr>
        <w:pStyle w:val="List2"/>
      </w:pPr>
      <w:r>
        <w:t>•</w:t>
      </w:r>
      <w:r>
        <w:tab/>
      </w:r>
      <w:r w:rsidRPr="00633BC3">
        <w:t>children in the workplace</w:t>
      </w:r>
    </w:p>
    <w:p w:rsidR="00000000" w:rsidRPr="00633BC3" w:rsidP="00633BC3">
      <w:pPr>
        <w:pStyle w:val="List2"/>
      </w:pPr>
      <w:r>
        <w:t>•</w:t>
      </w:r>
      <w:r>
        <w:tab/>
      </w:r>
      <w:r w:rsidRPr="00633BC3">
        <w:t>continuing p</w:t>
      </w:r>
      <w:r w:rsidRPr="00633BC3">
        <w:t>rofessional education</w:t>
      </w:r>
    </w:p>
    <w:p w:rsidR="00000000" w:rsidRPr="00633BC3" w:rsidP="00633BC3">
      <w:pPr>
        <w:pStyle w:val="List2"/>
      </w:pPr>
      <w:r>
        <w:t>•</w:t>
      </w:r>
      <w:r>
        <w:tab/>
      </w:r>
      <w:r w:rsidRPr="00633BC3">
        <w:t>discrimination</w:t>
      </w:r>
    </w:p>
    <w:p w:rsidR="00000000" w:rsidRPr="00633BC3" w:rsidP="00633BC3">
      <w:pPr>
        <w:pStyle w:val="List2"/>
      </w:pPr>
      <w:r>
        <w:t>•</w:t>
      </w:r>
      <w:r>
        <w:tab/>
      </w:r>
      <w:r w:rsidRPr="00633BC3">
        <w:t>duty of care</w:t>
      </w:r>
    </w:p>
    <w:p w:rsidR="00000000" w:rsidRPr="00633BC3" w:rsidP="00633BC3">
      <w:pPr>
        <w:pStyle w:val="List2"/>
      </w:pPr>
      <w:r>
        <w:t>•</w:t>
      </w:r>
      <w:r>
        <w:tab/>
      </w:r>
      <w:r w:rsidRPr="00633BC3">
        <w:t>human rights</w:t>
      </w:r>
    </w:p>
    <w:p w:rsidR="00000000" w:rsidRPr="00633BC3" w:rsidP="00633BC3">
      <w:pPr>
        <w:pStyle w:val="List2"/>
      </w:pPr>
      <w:r>
        <w:t>•</w:t>
      </w:r>
      <w:r>
        <w:tab/>
      </w:r>
      <w:r w:rsidRPr="00633BC3">
        <w:t>informed consent</w:t>
      </w:r>
    </w:p>
    <w:p w:rsidR="00000000" w:rsidRPr="00633BC3" w:rsidP="00633BC3">
      <w:pPr>
        <w:pStyle w:val="List2"/>
      </w:pPr>
      <w:r>
        <w:t>•</w:t>
      </w:r>
      <w:r>
        <w:tab/>
      </w:r>
      <w:r w:rsidRPr="00633BC3">
        <w:t>mandatory reporting</w:t>
      </w:r>
    </w:p>
    <w:p w:rsidR="00000000" w:rsidRPr="00633BC3" w:rsidP="00633BC3">
      <w:pPr>
        <w:pStyle w:val="List2"/>
      </w:pPr>
      <w:r>
        <w:t>•</w:t>
      </w:r>
      <w:r>
        <w:tab/>
      </w:r>
      <w:r w:rsidRPr="00633BC3">
        <w:t>practice standards</w:t>
      </w:r>
    </w:p>
    <w:p w:rsidR="00000000" w:rsidRPr="00633BC3" w:rsidP="00633BC3">
      <w:pPr>
        <w:pStyle w:val="List2"/>
      </w:pPr>
      <w:r>
        <w:t>•</w:t>
      </w:r>
      <w:r>
        <w:tab/>
      </w:r>
      <w:r w:rsidRPr="00633BC3">
        <w:t>practitioner/client boundaries</w:t>
      </w:r>
    </w:p>
    <w:p w:rsidR="00000000" w:rsidRPr="00633BC3" w:rsidP="00633BC3">
      <w:pPr>
        <w:pStyle w:val="List2"/>
      </w:pPr>
      <w:r>
        <w:t>•</w:t>
      </w:r>
      <w:r>
        <w:tab/>
      </w:r>
      <w:r w:rsidRPr="00633BC3">
        <w:t>privacy, confidentiality and disclosure</w:t>
      </w:r>
    </w:p>
    <w:p w:rsidR="00000000" w:rsidRPr="00633BC3" w:rsidP="00633BC3">
      <w:pPr>
        <w:pStyle w:val="List2"/>
      </w:pPr>
      <w:r>
        <w:t>•</w:t>
      </w:r>
      <w:r>
        <w:tab/>
      </w:r>
      <w:r w:rsidRPr="00633BC3">
        <w:t>specific Commonwealth legislation and State/Terr</w:t>
      </w:r>
      <w:r w:rsidRPr="00633BC3">
        <w:t>itory legislation or regulation for health care workers including covering, for example:</w:t>
      </w:r>
    </w:p>
    <w:p w:rsidR="00000000" w:rsidRPr="00633BC3" w:rsidP="00633BC3">
      <w:pPr>
        <w:pStyle w:val="List3"/>
      </w:pPr>
      <w:r>
        <w:t>•</w:t>
      </w:r>
      <w:r>
        <w:tab/>
      </w:r>
      <w:r w:rsidRPr="00633BC3">
        <w:t xml:space="preserve">children and young people </w:t>
      </w:r>
    </w:p>
    <w:p w:rsidR="00000000" w:rsidRPr="00633BC3" w:rsidP="00633BC3">
      <w:pPr>
        <w:pStyle w:val="List3"/>
      </w:pPr>
      <w:r>
        <w:t>•</w:t>
      </w:r>
      <w:r>
        <w:tab/>
      </w:r>
      <w:r w:rsidRPr="00633BC3">
        <w:t xml:space="preserve">anti-discrimination </w:t>
      </w:r>
    </w:p>
    <w:p w:rsidR="00000000" w:rsidRPr="00633BC3" w:rsidP="00633BC3">
      <w:pPr>
        <w:pStyle w:val="List3"/>
      </w:pPr>
      <w:r>
        <w:t>•</w:t>
      </w:r>
      <w:r>
        <w:tab/>
      </w:r>
      <w:r w:rsidRPr="00633BC3">
        <w:t>disability</w:t>
      </w:r>
    </w:p>
    <w:p w:rsidR="00000000" w:rsidRPr="00633BC3" w:rsidP="00633BC3">
      <w:pPr>
        <w:pStyle w:val="List3"/>
      </w:pPr>
      <w:r>
        <w:t>•</w:t>
      </w:r>
      <w:r>
        <w:tab/>
      </w:r>
      <w:r w:rsidRPr="00633BC3">
        <w:t>health, drugs and poisons</w:t>
      </w:r>
    </w:p>
    <w:p w:rsidR="00000000" w:rsidRPr="00633BC3" w:rsidP="00633BC3">
      <w:pPr>
        <w:pStyle w:val="List3"/>
      </w:pPr>
      <w:r>
        <w:t>•</w:t>
      </w:r>
      <w:r>
        <w:tab/>
      </w:r>
      <w:r w:rsidRPr="00633BC3">
        <w:t xml:space="preserve">mental health </w:t>
      </w:r>
    </w:p>
    <w:p w:rsidR="00000000" w:rsidRPr="00633BC3" w:rsidP="00633BC3">
      <w:pPr>
        <w:pStyle w:val="List3"/>
      </w:pPr>
      <w:r>
        <w:t>•</w:t>
      </w:r>
      <w:r>
        <w:tab/>
      </w:r>
      <w:r w:rsidRPr="00633BC3">
        <w:t>health records and information privacy</w:t>
      </w:r>
    </w:p>
    <w:p w:rsidR="00000000" w:rsidRPr="00633BC3" w:rsidP="00633BC3">
      <w:pPr>
        <w:pStyle w:val="List3"/>
      </w:pPr>
      <w:r>
        <w:t>•</w:t>
      </w:r>
      <w:r>
        <w:tab/>
      </w:r>
      <w:r w:rsidRPr="00633BC3">
        <w:t>industrial rel</w:t>
      </w:r>
      <w:r w:rsidRPr="00633BC3">
        <w:t xml:space="preserve">ations </w:t>
      </w:r>
    </w:p>
    <w:p w:rsidR="00000000" w:rsidRPr="00633BC3" w:rsidP="00633BC3">
      <w:pPr>
        <w:pStyle w:val="List2"/>
      </w:pPr>
      <w:r>
        <w:t>•</w:t>
      </w:r>
      <w:r>
        <w:tab/>
      </w:r>
      <w:r w:rsidRPr="00633BC3">
        <w:t>National Safety and Quality Health Service (NSQHS) Standards</w:t>
      </w:r>
    </w:p>
    <w:p w:rsidR="00000000" w:rsidRPr="00633BC3" w:rsidP="00633BC3">
      <w:pPr>
        <w:pStyle w:val="List2"/>
      </w:pPr>
      <w:r>
        <w:t>•</w:t>
      </w:r>
      <w:r>
        <w:tab/>
      </w:r>
      <w:r w:rsidRPr="00633BC3">
        <w:t>work role boundaries – responsibilities and limitations</w:t>
      </w:r>
    </w:p>
    <w:p w:rsidR="00000000" w:rsidRPr="00633BC3" w:rsidP="00633BC3">
      <w:pPr>
        <w:pStyle w:val="List2"/>
      </w:pPr>
      <w:r>
        <w:t>•</w:t>
      </w:r>
      <w:r>
        <w:tab/>
      </w:r>
      <w:r w:rsidRPr="00633BC3">
        <w:t>work health and safety</w:t>
      </w:r>
    </w:p>
    <w:p w:rsidR="00000000" w:rsidRPr="00633BC3" w:rsidP="00633BC3">
      <w:pPr>
        <w:pStyle w:val="List"/>
      </w:pPr>
      <w:r w:rsidRPr="00633BC3">
        <w:t>•</w:t>
      </w:r>
      <w:r w:rsidRPr="00633BC3">
        <w:tab/>
        <w:t>organisation policies, procedures and established clinical guidelines and protocols for patient care</w:t>
      </w:r>
      <w:r w:rsidRPr="00633BC3">
        <w:t xml:space="preserve"> and emergency equipment.</w:t>
      </w:r>
    </w:p>
    <w:p w:rsidR="00000000" w:rsidRPr="00633BC3" w:rsidP="00633BC3">
      <w:pPr>
        <w:pStyle w:val="AllowPageBreak"/>
      </w:pPr>
    </w:p>
    <w:p w:rsidR="00000000" w:rsidRPr="00633BC3" w:rsidP="00633BC3">
      <w:pPr>
        <w:pStyle w:val="Heading1"/>
      </w:pPr>
      <w:bookmarkStart w:id="4" w:name="O_818866"/>
      <w:bookmarkEnd w:id="4"/>
      <w:r w:rsidRPr="00633BC3">
        <w:t>Assessment Conditions</w:t>
      </w:r>
    </w:p>
    <w:p w:rsidR="00000000" w:rsidRPr="00633BC3" w:rsidP="00362F38">
      <w:pPr>
        <w:pStyle w:val="BodyText"/>
      </w:pPr>
      <w:r w:rsidRPr="00633BC3">
        <w:t>Skills must have been demonstrated in the workplace or in a simulated environment as specified in the performance evidence.</w:t>
      </w:r>
    </w:p>
    <w:p w:rsidR="00000000" w:rsidRPr="00633BC3" w:rsidP="00362F38">
      <w:pPr>
        <w:pStyle w:val="BodyText"/>
      </w:pPr>
      <w:r w:rsidRPr="00633BC3">
        <w:t xml:space="preserve">The requirement in the performance evidence to perform 5 intensive clinical care interventions in the workplace must have been demonstrated using simulation before being demonstrated in the workplace and with members of the public. </w:t>
      </w:r>
    </w:p>
    <w:p w:rsidR="00000000" w:rsidRPr="00633BC3" w:rsidP="00362F38">
      <w:pPr>
        <w:pStyle w:val="BodyText"/>
      </w:pPr>
      <w:r w:rsidRPr="00633BC3">
        <w:t>The following conditio</w:t>
      </w:r>
      <w:r w:rsidRPr="00633BC3">
        <w:t>ns must be met for this unit:</w:t>
      </w:r>
    </w:p>
    <w:p w:rsidR="00000000" w:rsidRPr="00633BC3" w:rsidP="00633BC3">
      <w:pPr>
        <w:pStyle w:val="List"/>
      </w:pPr>
      <w:r w:rsidRPr="00633BC3">
        <w:t>•</w:t>
      </w:r>
      <w:r w:rsidRPr="00633BC3">
        <w:tab/>
        <w:t>use of suitable facilities, resources and equipment as per local governing body including:</w:t>
      </w:r>
    </w:p>
    <w:p w:rsidR="00000000" w:rsidRPr="00633BC3" w:rsidP="00633BC3">
      <w:pPr>
        <w:pStyle w:val="List2"/>
      </w:pPr>
      <w:r w:rsidRPr="00633BC3">
        <w:t>­ simulation adult, child, infant and obstetric manikins suitable for simulation of clinical skills</w:t>
      </w:r>
    </w:p>
    <w:p w:rsidR="00000000" w:rsidRPr="00633BC3" w:rsidP="00633BC3">
      <w:pPr>
        <w:pStyle w:val="List2"/>
      </w:pPr>
      <w:r w:rsidRPr="00633BC3">
        <w:t>­ defibrillator</w:t>
      </w:r>
    </w:p>
    <w:p w:rsidR="00000000" w:rsidRPr="00633BC3" w:rsidP="00633BC3">
      <w:pPr>
        <w:pStyle w:val="List2"/>
      </w:pPr>
      <w:r w:rsidRPr="00633BC3">
        <w:t>­ 12 lead ECG lea</w:t>
      </w:r>
      <w:r w:rsidRPr="00633BC3">
        <w:t>ds and recording device</w:t>
      </w:r>
    </w:p>
    <w:p w:rsidR="00000000" w:rsidRPr="00633BC3" w:rsidP="00633BC3">
      <w:pPr>
        <w:pStyle w:val="List2"/>
      </w:pPr>
      <w:r w:rsidRPr="00633BC3">
        <w:t>­ vital signs monitoring equipment</w:t>
      </w:r>
    </w:p>
    <w:p w:rsidR="00000000" w:rsidRPr="00633BC3" w:rsidP="00633BC3">
      <w:pPr>
        <w:pStyle w:val="List2"/>
      </w:pPr>
      <w:r w:rsidRPr="00633BC3">
        <w:t>­ sample medications used in emergency treatment</w:t>
      </w:r>
    </w:p>
    <w:p w:rsidR="00000000" w:rsidRPr="00633BC3" w:rsidP="00633BC3">
      <w:pPr>
        <w:pStyle w:val="List2"/>
      </w:pPr>
      <w:r w:rsidRPr="00633BC3">
        <w:t>­ oxygen resuscitation system with oxygen cylinder and oximeter and selection of oxygen masks with tubing</w:t>
      </w:r>
    </w:p>
    <w:p w:rsidR="00000000" w:rsidRPr="00633BC3" w:rsidP="00633BC3">
      <w:pPr>
        <w:pStyle w:val="List2"/>
      </w:pPr>
      <w:r w:rsidRPr="00633BC3">
        <w:t>­ simulation model suitable for simulation</w:t>
      </w:r>
      <w:r w:rsidRPr="00633BC3">
        <w:t xml:space="preserve"> insertion of an oropharyngeal airway</w:t>
      </w:r>
    </w:p>
    <w:p w:rsidR="00000000" w:rsidRPr="00633BC3" w:rsidP="00633BC3">
      <w:pPr>
        <w:pStyle w:val="List2"/>
      </w:pPr>
      <w:r w:rsidRPr="00633BC3">
        <w:t>­ IV cannulation equipment and IV fluid therapy equipment</w:t>
      </w:r>
    </w:p>
    <w:p w:rsidR="00000000" w:rsidRPr="00633BC3" w:rsidP="00633BC3">
      <w:pPr>
        <w:pStyle w:val="List2"/>
      </w:pPr>
      <w:r w:rsidRPr="00633BC3">
        <w:t xml:space="preserve">­ IO needle insertion equipment </w:t>
      </w:r>
    </w:p>
    <w:p w:rsidR="00000000" w:rsidRPr="00633BC3" w:rsidP="00633BC3">
      <w:pPr>
        <w:pStyle w:val="List"/>
      </w:pPr>
      <w:r w:rsidRPr="00633BC3">
        <w:t>•</w:t>
      </w:r>
      <w:r w:rsidRPr="00633BC3">
        <w:tab/>
        <w:t>modelling of industry operating conditions, including contingencies should be included in simulations and scenarios that refl</w:t>
      </w:r>
      <w:r w:rsidRPr="00633BC3">
        <w:t>ect pre-hospital/out-of-hospital clinical care work.</w:t>
      </w:r>
    </w:p>
    <w:p w:rsidR="00000000" w:rsidRPr="00633BC3" w:rsidP="00633BC3">
      <w:pPr>
        <w:pStyle w:val="BodyText"/>
      </w:pPr>
    </w:p>
    <w:p w:rsidR="00362F38" w:rsidP="00362F38">
      <w:pPr>
        <w:pStyle w:val="BodyText"/>
      </w:pPr>
      <w:r w:rsidRPr="00633BC3">
        <w:t>Assessors must satisfy the Standards for Registered Training Organisations (RTOs) 2015/AQTF mandatory competency requirements for assessors.</w:t>
      </w:r>
    </w:p>
    <w:p w:rsidR="00000000" w:rsidRPr="00633BC3" w:rsidP="00633BC3">
      <w:pPr>
        <w:pStyle w:val="Heading1"/>
      </w:pPr>
      <w:bookmarkStart w:id="5" w:name="O_818869"/>
      <w:bookmarkEnd w:id="5"/>
      <w:r w:rsidRPr="00633BC3">
        <w:t>Links</w:t>
      </w:r>
    </w:p>
    <w:p w:rsidR="00000000" w:rsidRPr="00633BC3" w:rsidP="00362F38">
      <w:pPr>
        <w:pStyle w:val="BodyText"/>
      </w:pPr>
      <w:r w:rsidRPr="00633BC3">
        <w:t>Companion Volume implementation guide</w:t>
      </w:r>
      <w:r w:rsidRPr="00633BC3">
        <w:t xml:space="preserve">s are found in VETNet - </w:t>
      </w:r>
      <w:r>
        <w:fldChar w:fldCharType="begin"/>
      </w:r>
      <w:r>
        <w:instrText xml:space="preserve"> HYPERLINK "https://vetnet.gov.au/Pages/TrainingDocs.aspx?q=ced1390f-48d9-4ab0-bd50-b015e5485705" </w:instrText>
      </w:r>
      <w:r>
        <w:fldChar w:fldCharType="separate"/>
      </w:r>
      <w:r w:rsidRPr="007F09F4">
        <w:rPr>
          <w:rStyle w:val="Hyperlink"/>
        </w:rPr>
        <w:t>https://vetnet.gov.au/Pages/TrainingDocs.aspx?q=ced1390f-48d9-4ab0-bd50-b015e5485705</w:t>
      </w:r>
      <w:r>
        <w:fldChar w:fldCharType="end"/>
      </w:r>
    </w:p>
    <w:p w:rsidR="00000000" w:rsidRPr="00633BC3" w:rsidP="00633BC3"/>
    <w:sectPr w:rsidSect="00633B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BC3" w:rsidRPr="00362F38" w:rsidP="00362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8" w:rsidP="00633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2F38" w:rsidP="00633BC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362F38" w:rsidP="00633B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BC3" w:rsidRPr="00362F38" w:rsidP="00362F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8" w:rsidRPr="002D2AF8" w:rsidP="00633BC3">
    <w:pPr>
      <w:pStyle w:val="Header"/>
      <w:framePr w:wrap="around"/>
    </w:pPr>
    <w:r>
      <w:fldChar w:fldCharType="begin"/>
    </w:r>
    <w:r>
      <w:instrText xml:space="preserve"> TITLE   \* MERGEFORMAT </w:instrText>
    </w:r>
    <w:r>
      <w:fldChar w:fldCharType="separate"/>
    </w:r>
    <w:r>
      <w:t>Assessment Requirements for HLTAMB009 Deliver intensive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362F38" w:rsidP="00633B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B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BC3"/>
    <w:pPr>
      <w:spacing w:before="360" w:after="60"/>
      <w:outlineLvl w:val="0"/>
    </w:pPr>
    <w:rPr>
      <w:sz w:val="32"/>
    </w:rPr>
  </w:style>
  <w:style w:type="paragraph" w:styleId="Heading2">
    <w:name w:val="heading 2"/>
    <w:basedOn w:val="HeadingBase"/>
    <w:next w:val="BodyText"/>
    <w:link w:val="Heading2Char"/>
    <w:qFormat/>
    <w:rsid w:val="00633BC3"/>
    <w:pPr>
      <w:keepLines/>
      <w:spacing w:before="240" w:after="120"/>
      <w:outlineLvl w:val="1"/>
    </w:pPr>
    <w:rPr>
      <w:sz w:val="28"/>
      <w:szCs w:val="40"/>
    </w:rPr>
  </w:style>
  <w:style w:type="paragraph" w:styleId="Heading3">
    <w:name w:val="heading 3"/>
    <w:basedOn w:val="HeadingBase"/>
    <w:next w:val="BodyText"/>
    <w:link w:val="Heading3Char"/>
    <w:qFormat/>
    <w:rsid w:val="00633BC3"/>
    <w:pPr>
      <w:spacing w:before="180" w:after="120"/>
      <w:outlineLvl w:val="2"/>
    </w:pPr>
    <w:rPr>
      <w:spacing w:val="-10"/>
      <w:kern w:val="32"/>
    </w:rPr>
  </w:style>
  <w:style w:type="paragraph" w:styleId="Heading4">
    <w:name w:val="heading 4"/>
    <w:basedOn w:val="HeadingBase"/>
    <w:next w:val="BodyText"/>
    <w:link w:val="Heading4Char"/>
    <w:qFormat/>
    <w:rsid w:val="00633BC3"/>
    <w:pPr>
      <w:spacing w:before="160" w:after="120"/>
      <w:outlineLvl w:val="3"/>
    </w:pPr>
    <w:rPr>
      <w:sz w:val="22"/>
    </w:rPr>
  </w:style>
  <w:style w:type="paragraph" w:styleId="Heading5">
    <w:name w:val="heading 5"/>
    <w:basedOn w:val="HeadingBase"/>
    <w:next w:val="Normal"/>
    <w:link w:val="Heading5Char"/>
    <w:qFormat/>
    <w:rsid w:val="00633BC3"/>
    <w:pPr>
      <w:spacing w:before="80"/>
      <w:outlineLvl w:val="4"/>
    </w:pPr>
    <w:rPr>
      <w:color w:val="918585"/>
      <w:sz w:val="20"/>
    </w:rPr>
  </w:style>
  <w:style w:type="paragraph" w:styleId="Heading6">
    <w:name w:val="heading 6"/>
    <w:basedOn w:val="HeadingBase"/>
    <w:next w:val="Normal"/>
    <w:link w:val="Heading6Char"/>
    <w:qFormat/>
    <w:rsid w:val="00633BC3"/>
    <w:pPr>
      <w:spacing w:before="60"/>
      <w:outlineLvl w:val="5"/>
    </w:pPr>
    <w:rPr>
      <w:color w:val="918585"/>
      <w:sz w:val="20"/>
    </w:rPr>
  </w:style>
  <w:style w:type="paragraph" w:styleId="Heading7">
    <w:name w:val="heading 7"/>
    <w:basedOn w:val="Normal"/>
    <w:next w:val="Normal"/>
    <w:link w:val="Heading7Char"/>
    <w:qFormat/>
    <w:rsid w:val="00633BC3"/>
    <w:pPr>
      <w:ind w:left="720"/>
      <w:outlineLvl w:val="6"/>
    </w:pPr>
    <w:rPr>
      <w:i/>
    </w:rPr>
  </w:style>
  <w:style w:type="paragraph" w:styleId="Heading8">
    <w:name w:val="heading 8"/>
    <w:basedOn w:val="Normal"/>
    <w:next w:val="Normal"/>
    <w:link w:val="Heading8Char"/>
    <w:qFormat/>
    <w:rsid w:val="00633BC3"/>
    <w:pPr>
      <w:ind w:left="720"/>
      <w:outlineLvl w:val="7"/>
    </w:pPr>
    <w:rPr>
      <w:i/>
    </w:rPr>
  </w:style>
  <w:style w:type="paragraph" w:styleId="Heading9">
    <w:name w:val="heading 9"/>
    <w:basedOn w:val="Normal"/>
    <w:next w:val="Normal"/>
    <w:link w:val="Heading9Char"/>
    <w:qFormat/>
    <w:rsid w:val="00633BC3"/>
    <w:pPr>
      <w:ind w:left="720"/>
      <w:outlineLvl w:val="8"/>
    </w:pPr>
    <w:rPr>
      <w:i/>
    </w:rPr>
  </w:style>
  <w:style w:type="character" w:default="1" w:styleId="DefaultParagraphFont">
    <w:name w:val="Default Paragraph Font"/>
    <w:uiPriority w:val="1"/>
    <w:unhideWhenUsed/>
    <w:rsid w:val="00633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BC3"/>
  </w:style>
  <w:style w:type="character" w:customStyle="1" w:styleId="Heading1Char">
    <w:name w:val="Heading 1 Char"/>
    <w:basedOn w:val="DefaultParagraphFont"/>
    <w:link w:val="Heading1"/>
    <w:rsid w:val="00633BC3"/>
    <w:rPr>
      <w:rFonts w:ascii="Times New Roman" w:eastAsia="Times New Roman" w:hAnsi="Times New Roman" w:cs="Times New Roman"/>
      <w:b/>
      <w:sz w:val="32"/>
      <w:szCs w:val="20"/>
      <w:lang w:eastAsia="en-US"/>
    </w:rPr>
  </w:style>
  <w:style w:type="paragraph" w:styleId="BodyText">
    <w:name w:val="Body Text"/>
    <w:basedOn w:val="Normal"/>
    <w:link w:val="BodyTextChar"/>
    <w:rsid w:val="00633B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BC3"/>
    <w:rPr>
      <w:rFonts w:ascii="Times New Roman" w:eastAsia="Times New Roman" w:hAnsi="Times New Roman" w:cs="Times New Roman"/>
      <w:sz w:val="24"/>
      <w:lang w:eastAsia="en-US"/>
    </w:rPr>
  </w:style>
  <w:style w:type="paragraph" w:styleId="List">
    <w:name w:val="List"/>
    <w:basedOn w:val="BodyText"/>
    <w:next w:val="BodyText"/>
    <w:rsid w:val="00633BC3"/>
    <w:pPr>
      <w:tabs>
        <w:tab w:val="left" w:pos="340"/>
      </w:tabs>
      <w:spacing w:before="60" w:after="60"/>
      <w:ind w:left="340" w:hanging="340"/>
    </w:pPr>
  </w:style>
  <w:style w:type="character" w:styleId="Emphasis">
    <w:name w:val="Emphasis"/>
    <w:basedOn w:val="DefaultParagraphFont"/>
    <w:qFormat/>
    <w:rsid w:val="00633BC3"/>
    <w:rPr>
      <w:i/>
    </w:rPr>
  </w:style>
  <w:style w:type="paragraph" w:customStyle="1" w:styleId="SuperHeading">
    <w:name w:val="SuperHeading"/>
    <w:basedOn w:val="Normal"/>
    <w:rsid w:val="00633BC3"/>
    <w:pPr>
      <w:spacing w:before="240" w:after="120"/>
      <w:outlineLvl w:val="0"/>
    </w:pPr>
    <w:rPr>
      <w:rFonts w:ascii="Times New Roman" w:hAnsi="Times New Roman"/>
      <w:b/>
      <w:sz w:val="32"/>
    </w:rPr>
  </w:style>
  <w:style w:type="paragraph" w:customStyle="1" w:styleId="AllowPageBreak">
    <w:name w:val="AllowPageBreak"/>
    <w:rsid w:val="00633B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3BC3"/>
    <w:pPr>
      <w:tabs>
        <w:tab w:val="left" w:pos="680"/>
      </w:tabs>
      <w:spacing w:before="60" w:after="60"/>
      <w:ind w:left="680" w:hanging="340"/>
    </w:pPr>
  </w:style>
  <w:style w:type="paragraph" w:styleId="List3">
    <w:name w:val="List 3"/>
    <w:basedOn w:val="BodyText"/>
    <w:rsid w:val="00633BC3"/>
    <w:pPr>
      <w:tabs>
        <w:tab w:val="left" w:pos="1021"/>
      </w:tabs>
      <w:spacing w:before="60" w:after="60"/>
      <w:ind w:left="1020" w:hanging="340"/>
    </w:pPr>
  </w:style>
  <w:style w:type="character" w:customStyle="1" w:styleId="Heading2Char">
    <w:name w:val="Heading 2 Char"/>
    <w:basedOn w:val="DefaultParagraphFont"/>
    <w:link w:val="Heading2"/>
    <w:rsid w:val="00633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B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B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B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B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BC3"/>
    <w:rPr>
      <w:rFonts w:ascii="Courier New" w:eastAsia="Times New Roman" w:hAnsi="Courier New" w:cs="Times New Roman"/>
      <w:i/>
      <w:szCs w:val="20"/>
      <w:lang w:eastAsia="en-US"/>
    </w:rPr>
  </w:style>
  <w:style w:type="paragraph" w:customStyle="1" w:styleId="HeadingBase">
    <w:name w:val="Heading Base"/>
    <w:rsid w:val="00633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BC3"/>
    <w:pPr>
      <w:tabs>
        <w:tab w:val="right" w:leader="dot" w:pos="9072"/>
      </w:tabs>
      <w:ind w:left="567"/>
    </w:pPr>
    <w:rPr>
      <w:szCs w:val="22"/>
    </w:rPr>
  </w:style>
  <w:style w:type="paragraph" w:customStyle="1" w:styleId="TOCBase">
    <w:name w:val="TOC Base"/>
    <w:rsid w:val="00633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BC3"/>
    <w:pPr>
      <w:tabs>
        <w:tab w:val="right" w:leader="dot" w:pos="9072"/>
      </w:tabs>
      <w:spacing w:before="40" w:after="40"/>
      <w:ind w:left="284"/>
    </w:pPr>
    <w:rPr>
      <w:rFonts w:ascii="Times New Roman" w:hAnsi="Times New Roman"/>
    </w:rPr>
  </w:style>
  <w:style w:type="paragraph" w:styleId="TOC1">
    <w:name w:val="toc 1"/>
    <w:basedOn w:val="TOCBase"/>
    <w:next w:val="Normal"/>
    <w:rsid w:val="00633B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BC3"/>
    <w:rPr>
      <w:rFonts w:ascii="Times New Roman" w:eastAsia="Times New Roman" w:hAnsi="Times New Roman" w:cs="Times New Roman"/>
      <w:sz w:val="16"/>
      <w:lang w:eastAsia="en-US"/>
    </w:rPr>
  </w:style>
  <w:style w:type="paragraph" w:styleId="Title">
    <w:name w:val="Title"/>
    <w:basedOn w:val="HeadingBase"/>
    <w:link w:val="TitleChar"/>
    <w:qFormat/>
    <w:rsid w:val="00633BC3"/>
    <w:pPr>
      <w:spacing w:before="5040"/>
      <w:jc w:val="center"/>
    </w:pPr>
    <w:rPr>
      <w:sz w:val="48"/>
      <w:szCs w:val="72"/>
      <w:lang w:val="en-US"/>
    </w:rPr>
  </w:style>
  <w:style w:type="character" w:customStyle="1" w:styleId="TitleChar">
    <w:name w:val="Title Char"/>
    <w:basedOn w:val="DefaultParagraphFont"/>
    <w:link w:val="Title"/>
    <w:rsid w:val="00633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BC3"/>
    <w:pPr>
      <w:tabs>
        <w:tab w:val="left" w:pos="3600"/>
        <w:tab w:val="left" w:pos="3958"/>
      </w:tabs>
    </w:pPr>
  </w:style>
  <w:style w:type="paragraph" w:styleId="ListBullet">
    <w:name w:val="List Bullet"/>
    <w:basedOn w:val="List"/>
    <w:rsid w:val="00633BC3"/>
    <w:pPr>
      <w:numPr>
        <w:numId w:val="10"/>
      </w:numPr>
      <w:tabs>
        <w:tab w:val="clear" w:pos="340"/>
      </w:tabs>
      <w:spacing w:before="40" w:after="40"/>
    </w:pPr>
  </w:style>
  <w:style w:type="paragraph" w:customStyle="1" w:styleId="Note">
    <w:name w:val="Note"/>
    <w:basedOn w:val="BodyText"/>
    <w:rsid w:val="00633B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3BC3"/>
    <w:rPr>
      <w:b/>
      <w:spacing w:val="0"/>
    </w:rPr>
  </w:style>
  <w:style w:type="paragraph" w:customStyle="1" w:styleId="SuperTitle">
    <w:name w:val="SuperTitle"/>
    <w:basedOn w:val="Title"/>
    <w:rsid w:val="00633BC3"/>
    <w:pPr>
      <w:framePr w:wrap="auto" w:hAnchor="text" w:y="6049"/>
    </w:pPr>
    <w:rPr>
      <w:color w:val="000000"/>
      <w:sz w:val="40"/>
    </w:rPr>
  </w:style>
  <w:style w:type="paragraph" w:customStyle="1" w:styleId="TOCTitle">
    <w:name w:val="TOCTitle"/>
    <w:basedOn w:val="Heading1"/>
    <w:rsid w:val="00633BC3"/>
    <w:pPr>
      <w:spacing w:after="240"/>
      <w:jc w:val="center"/>
      <w:outlineLvl w:val="9"/>
    </w:pPr>
    <w:rPr>
      <w:caps/>
    </w:rPr>
  </w:style>
  <w:style w:type="paragraph" w:customStyle="1" w:styleId="Version">
    <w:name w:val="Version"/>
    <w:rsid w:val="00633B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3BC3"/>
    <w:pPr>
      <w:numPr>
        <w:numId w:val="11"/>
      </w:numPr>
      <w:tabs>
        <w:tab w:val="clear" w:pos="680"/>
      </w:tabs>
    </w:pPr>
  </w:style>
  <w:style w:type="paragraph" w:styleId="Index1">
    <w:name w:val="index 1"/>
    <w:basedOn w:val="Normal"/>
    <w:next w:val="Normal"/>
    <w:semiHidden/>
    <w:rsid w:val="00633BC3"/>
    <w:pPr>
      <w:keepNext w:val="0"/>
      <w:tabs>
        <w:tab w:val="right" w:pos="4176"/>
      </w:tabs>
      <w:ind w:left="198" w:hanging="198"/>
    </w:pPr>
    <w:rPr>
      <w:rFonts w:ascii="Garamond" w:hAnsi="Garamond"/>
    </w:rPr>
  </w:style>
  <w:style w:type="paragraph" w:styleId="IndexHeading">
    <w:name w:val="index heading"/>
    <w:basedOn w:val="Normal"/>
    <w:next w:val="Index1"/>
    <w:semiHidden/>
    <w:rsid w:val="00633BC3"/>
    <w:pPr>
      <w:spacing w:before="120" w:after="120"/>
    </w:pPr>
    <w:rPr>
      <w:rFonts w:ascii="Arial" w:hAnsi="Arial"/>
      <w:b/>
      <w:color w:val="918585"/>
      <w:sz w:val="24"/>
    </w:rPr>
  </w:style>
  <w:style w:type="paragraph" w:styleId="Header">
    <w:name w:val="header"/>
    <w:basedOn w:val="Normal"/>
    <w:link w:val="HeaderChar"/>
    <w:rsid w:val="00633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BC3"/>
    <w:rPr>
      <w:rFonts w:ascii="Times New Roman" w:eastAsia="Times New Roman" w:hAnsi="Times New Roman" w:cs="Times New Roman"/>
      <w:sz w:val="16"/>
      <w:szCs w:val="20"/>
      <w:lang w:val="en-GB" w:eastAsia="en-US"/>
    </w:rPr>
  </w:style>
  <w:style w:type="paragraph" w:customStyle="1" w:styleId="Chapter">
    <w:name w:val="Chapter"/>
    <w:basedOn w:val="Normal"/>
    <w:rsid w:val="00633BC3"/>
    <w:pPr>
      <w:spacing w:before="240"/>
    </w:pPr>
    <w:rPr>
      <w:rFonts w:ascii="Times New Roman" w:hAnsi="Times New Roman"/>
      <w:smallCaps/>
      <w:spacing w:val="80"/>
      <w:sz w:val="28"/>
    </w:rPr>
  </w:style>
  <w:style w:type="paragraph" w:customStyle="1" w:styleId="InChapter">
    <w:name w:val="InChapter"/>
    <w:basedOn w:val="Heading3"/>
    <w:rsid w:val="00633BC3"/>
    <w:pPr>
      <w:spacing w:after="240"/>
      <w:outlineLvl w:val="9"/>
    </w:pPr>
    <w:rPr>
      <w:noProof/>
    </w:rPr>
  </w:style>
  <w:style w:type="paragraph" w:styleId="Index2">
    <w:name w:val="index 2"/>
    <w:basedOn w:val="Normal"/>
    <w:next w:val="Normal"/>
    <w:semiHidden/>
    <w:rsid w:val="00633BC3"/>
    <w:pPr>
      <w:tabs>
        <w:tab w:val="right" w:pos="4176"/>
      </w:tabs>
      <w:ind w:left="568" w:hanging="284"/>
    </w:pPr>
    <w:rPr>
      <w:rFonts w:ascii="Garamond" w:hAnsi="Garamond"/>
    </w:rPr>
  </w:style>
  <w:style w:type="paragraph" w:customStyle="1" w:styleId="Byline">
    <w:name w:val="Byline"/>
    <w:rsid w:val="00633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BC3"/>
    <w:pPr>
      <w:tabs>
        <w:tab w:val="clear" w:pos="3600"/>
        <w:tab w:val="clear" w:pos="3958"/>
      </w:tabs>
      <w:jc w:val="right"/>
    </w:pPr>
  </w:style>
  <w:style w:type="paragraph" w:styleId="Caption">
    <w:name w:val="caption"/>
    <w:basedOn w:val="BodyText"/>
    <w:next w:val="Normal"/>
    <w:qFormat/>
    <w:rsid w:val="00633BC3"/>
    <w:pPr>
      <w:framePr w:w="2268" w:hSpace="181" w:vSpace="181" w:wrap="around" w:vAnchor="text" w:hAnchor="page" w:x="1135" w:y="285" w:anchorLock="1"/>
    </w:pPr>
    <w:rPr>
      <w:i/>
    </w:rPr>
  </w:style>
  <w:style w:type="paragraph" w:customStyle="1" w:styleId="MiniTOCTitle">
    <w:name w:val="MiniTOCTitle"/>
    <w:basedOn w:val="Heading4"/>
    <w:rsid w:val="00633BC3"/>
    <w:pPr>
      <w:spacing w:before="240"/>
      <w:outlineLvl w:val="9"/>
    </w:pPr>
    <w:rPr>
      <w:noProof/>
      <w:sz w:val="24"/>
    </w:rPr>
  </w:style>
  <w:style w:type="paragraph" w:customStyle="1" w:styleId="MiniTOCItem">
    <w:name w:val="MiniTOCItem"/>
    <w:basedOn w:val="ListBullet"/>
    <w:rsid w:val="00633BC3"/>
    <w:pPr>
      <w:numPr>
        <w:numId w:val="0"/>
      </w:numPr>
      <w:tabs>
        <w:tab w:val="right" w:leader="dot" w:pos="6521"/>
      </w:tabs>
      <w:spacing w:before="0" w:after="0"/>
    </w:pPr>
  </w:style>
  <w:style w:type="paragraph" w:customStyle="1" w:styleId="TOFTitle">
    <w:name w:val="TOFTitle"/>
    <w:basedOn w:val="TOCTitle"/>
    <w:rsid w:val="00633BC3"/>
  </w:style>
  <w:style w:type="paragraph" w:styleId="TableofFigures">
    <w:name w:val="table of figures"/>
    <w:basedOn w:val="Normal"/>
    <w:next w:val="Normal"/>
    <w:semiHidden/>
    <w:rsid w:val="00633BC3"/>
    <w:pPr>
      <w:tabs>
        <w:tab w:val="right" w:leader="dot" w:pos="9072"/>
      </w:tabs>
      <w:ind w:left="970" w:hanging="403"/>
    </w:pPr>
    <w:rPr>
      <w:rFonts w:ascii="Times New Roman" w:hAnsi="Times New Roman"/>
      <w:b/>
    </w:rPr>
  </w:style>
  <w:style w:type="paragraph" w:styleId="ListNumber">
    <w:name w:val="List Number"/>
    <w:basedOn w:val="List"/>
    <w:rsid w:val="00633BC3"/>
    <w:pPr>
      <w:numPr>
        <w:numId w:val="13"/>
      </w:numPr>
      <w:tabs>
        <w:tab w:val="clear" w:pos="340"/>
      </w:tabs>
    </w:pPr>
  </w:style>
  <w:style w:type="character" w:customStyle="1" w:styleId="WingdingSymbols">
    <w:name w:val="Wingding Symbols"/>
    <w:rsid w:val="00633BC3"/>
    <w:rPr>
      <w:rFonts w:ascii="Wingdings" w:hAnsi="Wingdings"/>
    </w:rPr>
  </w:style>
  <w:style w:type="paragraph" w:customStyle="1" w:styleId="TableHeading">
    <w:name w:val="Table Heading"/>
    <w:basedOn w:val="HeadingBase"/>
    <w:rsid w:val="00633BC3"/>
    <w:pPr>
      <w:keepLines/>
      <w:pBdr>
        <w:bottom w:val="single" w:sz="6" w:space="1" w:color="918585"/>
      </w:pBdr>
      <w:spacing w:before="240"/>
    </w:pPr>
  </w:style>
  <w:style w:type="character" w:customStyle="1" w:styleId="HotSpot">
    <w:name w:val="HotSpot"/>
    <w:rsid w:val="00633BC3"/>
    <w:rPr>
      <w:color w:val="0033CC"/>
      <w:u w:val="none"/>
    </w:rPr>
  </w:style>
  <w:style w:type="paragraph" w:customStyle="1" w:styleId="BodyTextRight">
    <w:name w:val="Body Text Right"/>
    <w:basedOn w:val="BodyText"/>
    <w:rsid w:val="00633BC3"/>
    <w:pPr>
      <w:spacing w:before="0" w:after="0"/>
      <w:jc w:val="right"/>
    </w:pPr>
  </w:style>
  <w:style w:type="paragraph" w:styleId="Index3">
    <w:name w:val="index 3"/>
    <w:basedOn w:val="ListNumber2"/>
    <w:next w:val="Normal"/>
    <w:semiHidden/>
    <w:rsid w:val="00633BC3"/>
    <w:pPr>
      <w:numPr>
        <w:numId w:val="0"/>
      </w:numPr>
      <w:tabs>
        <w:tab w:val="right" w:leader="dot" w:pos="4176"/>
      </w:tabs>
    </w:pPr>
  </w:style>
  <w:style w:type="paragraph" w:styleId="ListNumber2">
    <w:name w:val="List Number 2"/>
    <w:basedOn w:val="List2"/>
    <w:rsid w:val="00633BC3"/>
    <w:pPr>
      <w:numPr>
        <w:numId w:val="8"/>
      </w:numPr>
      <w:tabs>
        <w:tab w:val="clear" w:pos="1060"/>
      </w:tabs>
    </w:pPr>
  </w:style>
  <w:style w:type="paragraph" w:customStyle="1" w:styleId="MarginNote">
    <w:name w:val="Margin Note"/>
    <w:basedOn w:val="BodyText"/>
    <w:rsid w:val="00633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B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BC3"/>
    <w:rPr>
      <w:sz w:val="32"/>
    </w:rPr>
  </w:style>
  <w:style w:type="paragraph" w:customStyle="1" w:styleId="HeadingProcedure">
    <w:name w:val="Heading Procedure"/>
    <w:basedOn w:val="HeadingBase"/>
    <w:next w:val="Normal"/>
    <w:rsid w:val="00633BC3"/>
    <w:pPr>
      <w:tabs>
        <w:tab w:val="left" w:pos="0"/>
      </w:tabs>
      <w:spacing w:before="120" w:after="60"/>
    </w:pPr>
    <w:rPr>
      <w:i/>
      <w:color w:val="918585"/>
      <w:sz w:val="22"/>
    </w:rPr>
  </w:style>
  <w:style w:type="paragraph" w:customStyle="1" w:styleId="TableBodyText">
    <w:name w:val="Table Body Text"/>
    <w:basedOn w:val="BodyText"/>
    <w:rsid w:val="00633BC3"/>
    <w:pPr>
      <w:spacing w:before="60" w:after="60"/>
    </w:pPr>
  </w:style>
  <w:style w:type="paragraph" w:styleId="ListContinue">
    <w:name w:val="List Continue"/>
    <w:basedOn w:val="List"/>
    <w:rsid w:val="00633BC3"/>
    <w:pPr>
      <w:ind w:firstLine="0"/>
    </w:pPr>
  </w:style>
  <w:style w:type="paragraph" w:customStyle="1" w:styleId="ListNote">
    <w:name w:val="List Note"/>
    <w:basedOn w:val="List"/>
    <w:rsid w:val="00633BC3"/>
    <w:pPr>
      <w:pBdr>
        <w:top w:val="single" w:sz="6" w:space="2" w:color="918585"/>
        <w:bottom w:val="single" w:sz="6" w:space="2" w:color="918585"/>
      </w:pBdr>
      <w:tabs>
        <w:tab w:val="left" w:pos="1021"/>
      </w:tabs>
      <w:ind w:firstLine="0"/>
    </w:pPr>
  </w:style>
  <w:style w:type="paragraph" w:customStyle="1" w:styleId="Warning">
    <w:name w:val="Warning"/>
    <w:basedOn w:val="BodyText"/>
    <w:rsid w:val="00633BC3"/>
    <w:pPr>
      <w:shd w:val="clear" w:color="auto" w:fill="D9D9D9"/>
      <w:tabs>
        <w:tab w:val="left" w:pos="992"/>
      </w:tabs>
      <w:ind w:left="119" w:right="119"/>
    </w:pPr>
    <w:rPr>
      <w:sz w:val="20"/>
    </w:rPr>
  </w:style>
  <w:style w:type="paragraph" w:customStyle="1" w:styleId="MarginIcons">
    <w:name w:val="Margin Icons"/>
    <w:basedOn w:val="BodyText"/>
    <w:rsid w:val="00633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BC3"/>
    <w:rPr>
      <w:rFonts w:ascii="Courier New" w:hAnsi="Courier New"/>
    </w:rPr>
  </w:style>
  <w:style w:type="paragraph" w:customStyle="1" w:styleId="NoteBullet">
    <w:name w:val="Note Bullet"/>
    <w:basedOn w:val="Note"/>
    <w:rsid w:val="00633BC3"/>
    <w:pPr>
      <w:tabs>
        <w:tab w:val="clear" w:pos="680"/>
      </w:tabs>
      <w:spacing w:before="60" w:after="60"/>
    </w:pPr>
  </w:style>
  <w:style w:type="paragraph" w:customStyle="1" w:styleId="SubHeading2">
    <w:name w:val="SubHeading2"/>
    <w:basedOn w:val="HeadingBase"/>
    <w:rsid w:val="00633BC3"/>
    <w:pPr>
      <w:spacing w:before="240" w:after="60"/>
    </w:pPr>
    <w:rPr>
      <w:sz w:val="20"/>
    </w:rPr>
  </w:style>
  <w:style w:type="paragraph" w:customStyle="1" w:styleId="SubHeading1">
    <w:name w:val="SubHeading1"/>
    <w:basedOn w:val="HeadingBase"/>
    <w:rsid w:val="00633BC3"/>
    <w:pPr>
      <w:spacing w:before="240" w:after="60"/>
    </w:pPr>
    <w:rPr>
      <w:color w:val="918585"/>
      <w:sz w:val="22"/>
    </w:rPr>
  </w:style>
  <w:style w:type="paragraph" w:customStyle="1" w:styleId="SideHeading">
    <w:name w:val="Side Heading"/>
    <w:basedOn w:val="HeadingBase"/>
    <w:rsid w:val="00633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BC3"/>
    <w:pPr>
      <w:numPr>
        <w:numId w:val="9"/>
      </w:numPr>
    </w:pPr>
  </w:style>
  <w:style w:type="paragraph" w:styleId="PlainText">
    <w:name w:val="Plain Text"/>
    <w:basedOn w:val="Normal"/>
    <w:link w:val="PlainTextChar"/>
    <w:rsid w:val="00633BC3"/>
    <w:rPr>
      <w:sz w:val="20"/>
    </w:rPr>
  </w:style>
  <w:style w:type="character" w:customStyle="1" w:styleId="PlainTextChar">
    <w:name w:val="Plain Text Char"/>
    <w:basedOn w:val="DefaultParagraphFont"/>
    <w:link w:val="PlainText"/>
    <w:rsid w:val="00633BC3"/>
    <w:rPr>
      <w:rFonts w:ascii="Courier New" w:eastAsia="Times New Roman" w:hAnsi="Courier New" w:cs="Times New Roman"/>
      <w:sz w:val="20"/>
      <w:szCs w:val="20"/>
      <w:lang w:eastAsia="en-US"/>
    </w:rPr>
  </w:style>
  <w:style w:type="character" w:customStyle="1" w:styleId="MenuOption">
    <w:name w:val="Menu Option"/>
    <w:basedOn w:val="DefaultParagraphFont"/>
    <w:rsid w:val="00633BC3"/>
    <w:rPr>
      <w:b/>
      <w:smallCaps/>
    </w:rPr>
  </w:style>
  <w:style w:type="paragraph" w:customStyle="1" w:styleId="TableListNumber">
    <w:name w:val="Table List Number"/>
    <w:basedOn w:val="ListNumber"/>
    <w:rsid w:val="00633BC3"/>
    <w:pPr>
      <w:numPr>
        <w:numId w:val="0"/>
      </w:numPr>
    </w:pPr>
  </w:style>
  <w:style w:type="paragraph" w:styleId="TOC4">
    <w:name w:val="toc 4"/>
    <w:basedOn w:val="TOCBase"/>
    <w:next w:val="Normal"/>
    <w:semiHidden/>
    <w:rsid w:val="00633BC3"/>
    <w:pPr>
      <w:tabs>
        <w:tab w:val="right" w:leader="dot" w:pos="9071"/>
      </w:tabs>
      <w:ind w:left="1701"/>
    </w:pPr>
  </w:style>
  <w:style w:type="paragraph" w:customStyle="1" w:styleId="ListAlpha">
    <w:name w:val="List Alpha"/>
    <w:basedOn w:val="List"/>
    <w:rsid w:val="00633BC3"/>
    <w:pPr>
      <w:numPr>
        <w:numId w:val="7"/>
      </w:numPr>
    </w:pPr>
  </w:style>
  <w:style w:type="paragraph" w:customStyle="1" w:styleId="ListAlpha2">
    <w:name w:val="List Alpha 2"/>
    <w:basedOn w:val="List2"/>
    <w:rsid w:val="00633BC3"/>
    <w:pPr>
      <w:numPr>
        <w:numId w:val="6"/>
      </w:numPr>
    </w:pPr>
  </w:style>
  <w:style w:type="paragraph" w:styleId="List4">
    <w:name w:val="List 4"/>
    <w:basedOn w:val="BodyText"/>
    <w:rsid w:val="00633BC3"/>
    <w:pPr>
      <w:tabs>
        <w:tab w:val="left" w:pos="1361"/>
      </w:tabs>
      <w:spacing w:before="60" w:after="60"/>
      <w:ind w:left="1361" w:hanging="340"/>
    </w:pPr>
  </w:style>
  <w:style w:type="paragraph" w:styleId="List5">
    <w:name w:val="List 5"/>
    <w:basedOn w:val="BodyText"/>
    <w:rsid w:val="00633BC3"/>
    <w:pPr>
      <w:tabs>
        <w:tab w:val="left" w:pos="1701"/>
      </w:tabs>
      <w:spacing w:before="60" w:after="60"/>
      <w:ind w:left="1701" w:hanging="340"/>
    </w:pPr>
  </w:style>
  <w:style w:type="paragraph" w:styleId="ListBullet3">
    <w:name w:val="List Bullet 3"/>
    <w:basedOn w:val="List3"/>
    <w:rsid w:val="00633BC3"/>
    <w:pPr>
      <w:numPr>
        <w:numId w:val="12"/>
      </w:numPr>
      <w:tabs>
        <w:tab w:val="clear" w:pos="1021"/>
      </w:tabs>
      <w:ind w:left="1037" w:hanging="357"/>
    </w:pPr>
  </w:style>
  <w:style w:type="paragraph" w:styleId="ListBullet4">
    <w:name w:val="List Bullet 4"/>
    <w:basedOn w:val="List4"/>
    <w:rsid w:val="00633BC3"/>
    <w:pPr>
      <w:numPr>
        <w:numId w:val="1"/>
      </w:numPr>
      <w:tabs>
        <w:tab w:val="clear" w:pos="1361"/>
      </w:tabs>
    </w:pPr>
  </w:style>
  <w:style w:type="paragraph" w:styleId="ListBullet5">
    <w:name w:val="List Bullet 5"/>
    <w:basedOn w:val="List5"/>
    <w:rsid w:val="00633BC3"/>
    <w:pPr>
      <w:numPr>
        <w:numId w:val="2"/>
      </w:numPr>
    </w:pPr>
  </w:style>
  <w:style w:type="paragraph" w:styleId="ListContinue2">
    <w:name w:val="List Continue 2"/>
    <w:basedOn w:val="List2"/>
    <w:rsid w:val="00633BC3"/>
    <w:pPr>
      <w:ind w:firstLine="0"/>
    </w:pPr>
  </w:style>
  <w:style w:type="paragraph" w:styleId="ListContinue3">
    <w:name w:val="List Continue 3"/>
    <w:basedOn w:val="List3"/>
    <w:rsid w:val="00633BC3"/>
    <w:pPr>
      <w:ind w:left="1021" w:firstLine="0"/>
    </w:pPr>
  </w:style>
  <w:style w:type="paragraph" w:styleId="ListContinue4">
    <w:name w:val="List Continue 4"/>
    <w:basedOn w:val="List4"/>
    <w:rsid w:val="00633BC3"/>
    <w:pPr>
      <w:ind w:firstLine="0"/>
    </w:pPr>
  </w:style>
  <w:style w:type="paragraph" w:styleId="ListContinue5">
    <w:name w:val="List Continue 5"/>
    <w:basedOn w:val="List5"/>
    <w:rsid w:val="00633BC3"/>
    <w:pPr>
      <w:ind w:firstLine="0"/>
    </w:pPr>
  </w:style>
  <w:style w:type="paragraph" w:styleId="ListNumber3">
    <w:name w:val="List Number 3"/>
    <w:basedOn w:val="List3"/>
    <w:rsid w:val="00633BC3"/>
    <w:pPr>
      <w:numPr>
        <w:numId w:val="3"/>
      </w:numPr>
    </w:pPr>
  </w:style>
  <w:style w:type="paragraph" w:styleId="ListNumber4">
    <w:name w:val="List Number 4"/>
    <w:basedOn w:val="List4"/>
    <w:rsid w:val="00633BC3"/>
    <w:pPr>
      <w:numPr>
        <w:numId w:val="4"/>
      </w:numPr>
    </w:pPr>
  </w:style>
  <w:style w:type="paragraph" w:styleId="ListNumber5">
    <w:name w:val="List Number 5"/>
    <w:basedOn w:val="List5"/>
    <w:rsid w:val="00633BC3"/>
    <w:pPr>
      <w:numPr>
        <w:numId w:val="5"/>
      </w:numPr>
    </w:pPr>
  </w:style>
  <w:style w:type="paragraph" w:styleId="BlockText">
    <w:name w:val="Block Text"/>
    <w:basedOn w:val="Normal"/>
    <w:rsid w:val="00633BC3"/>
    <w:pPr>
      <w:spacing w:after="120"/>
      <w:ind w:left="1440" w:right="1440"/>
    </w:pPr>
  </w:style>
  <w:style w:type="character" w:customStyle="1" w:styleId="Subscript">
    <w:name w:val="Subscript"/>
    <w:basedOn w:val="DefaultParagraphFont"/>
    <w:rsid w:val="00633BC3"/>
    <w:rPr>
      <w:sz w:val="16"/>
      <w:vertAlign w:val="subscript"/>
    </w:rPr>
  </w:style>
  <w:style w:type="character" w:customStyle="1" w:styleId="Superscript">
    <w:name w:val="Superscript"/>
    <w:basedOn w:val="DefaultParagraphFont"/>
    <w:rsid w:val="00633BC3"/>
    <w:rPr>
      <w:sz w:val="16"/>
      <w:vertAlign w:val="superscript"/>
    </w:rPr>
  </w:style>
  <w:style w:type="character" w:customStyle="1" w:styleId="Symbols">
    <w:name w:val="Symbols"/>
    <w:basedOn w:val="DefaultParagraphFont"/>
    <w:rsid w:val="00633BC3"/>
    <w:rPr>
      <w:rFonts w:ascii="Symbol" w:hAnsi="Symbol"/>
    </w:rPr>
  </w:style>
  <w:style w:type="character" w:customStyle="1" w:styleId="MenuOptions">
    <w:name w:val="Menu Options"/>
    <w:basedOn w:val="DefaultParagraphFont"/>
    <w:rsid w:val="00633BC3"/>
    <w:rPr>
      <w:rFonts w:ascii="Arial Narrow" w:hAnsi="Arial Narrow"/>
      <w:smallCaps/>
    </w:rPr>
  </w:style>
  <w:style w:type="character" w:customStyle="1" w:styleId="Buttons">
    <w:name w:val="Buttons"/>
    <w:basedOn w:val="DefaultParagraphFont"/>
    <w:rsid w:val="00633BC3"/>
    <w:rPr>
      <w:b/>
    </w:rPr>
  </w:style>
  <w:style w:type="character" w:customStyle="1" w:styleId="Underlined">
    <w:name w:val="Underlined"/>
    <w:basedOn w:val="DefaultParagraphFont"/>
    <w:rsid w:val="00633BC3"/>
    <w:rPr>
      <w:u w:val="single"/>
    </w:rPr>
  </w:style>
  <w:style w:type="paragraph" w:customStyle="1" w:styleId="TableBodyTextRight">
    <w:name w:val="Table Body Text Right"/>
    <w:basedOn w:val="TableBodyText"/>
    <w:rsid w:val="00633BC3"/>
    <w:pPr>
      <w:widowControl w:val="0"/>
      <w:autoSpaceDE w:val="0"/>
      <w:autoSpaceDN w:val="0"/>
      <w:adjustRightInd w:val="0"/>
      <w:jc w:val="right"/>
    </w:pPr>
    <w:rPr>
      <w:rFonts w:cs="Arial"/>
      <w:szCs w:val="18"/>
    </w:rPr>
  </w:style>
  <w:style w:type="paragraph" w:customStyle="1" w:styleId="CopyrightText">
    <w:name w:val="Copyright Text"/>
    <w:basedOn w:val="BodyText"/>
    <w:rsid w:val="00633BC3"/>
    <w:rPr>
      <w:sz w:val="18"/>
    </w:rPr>
  </w:style>
  <w:style w:type="paragraph" w:customStyle="1" w:styleId="BodySmallRight">
    <w:name w:val="Body Small Right"/>
    <w:basedOn w:val="BodyTextRight"/>
    <w:rsid w:val="00633BC3"/>
    <w:rPr>
      <w:sz w:val="18"/>
      <w:szCs w:val="18"/>
    </w:rPr>
  </w:style>
  <w:style w:type="paragraph" w:customStyle="1" w:styleId="MarginEdition">
    <w:name w:val="Margin Edition"/>
    <w:basedOn w:val="MarginNote"/>
    <w:rsid w:val="00633BC3"/>
    <w:pPr>
      <w:spacing w:before="0" w:after="0"/>
    </w:pPr>
    <w:rPr>
      <w:rFonts w:ascii="Times New Roman" w:hAnsi="Times New Roman"/>
      <w:color w:val="999999"/>
    </w:rPr>
  </w:style>
  <w:style w:type="paragraph" w:customStyle="1" w:styleId="Spacer">
    <w:name w:val="Spacer"/>
    <w:basedOn w:val="Normal"/>
    <w:rsid w:val="00633BC3"/>
    <w:rPr>
      <w:sz w:val="2"/>
      <w:szCs w:val="2"/>
    </w:rPr>
  </w:style>
  <w:style w:type="character" w:customStyle="1" w:styleId="Small">
    <w:name w:val="Small"/>
    <w:basedOn w:val="DefaultParagraphFont"/>
    <w:rsid w:val="00633BC3"/>
    <w:rPr>
      <w:sz w:val="16"/>
    </w:rPr>
  </w:style>
  <w:style w:type="paragraph" w:customStyle="1" w:styleId="WideTable">
    <w:name w:val="Wide Table"/>
    <w:basedOn w:val="Normal"/>
    <w:rsid w:val="00633BC3"/>
    <w:pPr>
      <w:ind w:left="-1418"/>
    </w:pPr>
    <w:rPr>
      <w:sz w:val="2"/>
      <w:szCs w:val="2"/>
    </w:rPr>
  </w:style>
  <w:style w:type="character" w:styleId="PageNumber">
    <w:name w:val="page number"/>
    <w:basedOn w:val="DefaultParagraphFont"/>
    <w:rsid w:val="00633BC3"/>
  </w:style>
  <w:style w:type="paragraph" w:styleId="Quote">
    <w:name w:val="Quote"/>
    <w:basedOn w:val="Heading1"/>
    <w:link w:val="QuoteChar"/>
    <w:qFormat/>
    <w:rsid w:val="00633BC3"/>
    <w:rPr>
      <w:b w:val="0"/>
      <w:sz w:val="72"/>
      <w:szCs w:val="72"/>
      <w:lang w:val="en-NZ"/>
    </w:rPr>
  </w:style>
  <w:style w:type="character" w:customStyle="1" w:styleId="QuoteChar">
    <w:name w:val="Quote Char"/>
    <w:basedOn w:val="DefaultParagraphFont"/>
    <w:link w:val="Quote"/>
    <w:rsid w:val="00633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BC3"/>
    <w:pPr>
      <w:pageBreakBefore/>
    </w:pPr>
  </w:style>
  <w:style w:type="paragraph" w:customStyle="1" w:styleId="Border">
    <w:name w:val="Border"/>
    <w:basedOn w:val="Normal"/>
    <w:qFormat/>
    <w:rsid w:val="00633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BC3"/>
    <w:rPr>
      <w:b/>
      <w:bCs/>
      <w:i/>
      <w:iCs/>
      <w:color w:val="auto"/>
    </w:rPr>
  </w:style>
  <w:style w:type="paragraph" w:styleId="IntenseQuote">
    <w:name w:val="Intense Quote"/>
    <w:basedOn w:val="Normal"/>
    <w:next w:val="Normal"/>
    <w:link w:val="IntenseQuoteChar"/>
    <w:uiPriority w:val="30"/>
    <w:qFormat/>
    <w:rsid w:val="00633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B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BC3"/>
    <w:rPr>
      <w:smallCaps/>
      <w:color w:val="auto"/>
      <w:u w:val="single"/>
    </w:rPr>
  </w:style>
  <w:style w:type="character" w:styleId="IntenseReference">
    <w:name w:val="Intense Reference"/>
    <w:basedOn w:val="DefaultParagraphFont"/>
    <w:uiPriority w:val="32"/>
    <w:qFormat/>
    <w:rsid w:val="00633BC3"/>
    <w:rPr>
      <w:b/>
      <w:bCs/>
      <w:smallCaps/>
      <w:color w:val="auto"/>
      <w:spacing w:val="5"/>
      <w:u w:val="single"/>
    </w:rPr>
  </w:style>
  <w:style w:type="paragraph" w:customStyle="1" w:styleId="2ColumnHeading">
    <w:name w:val="2Column Heading"/>
    <w:basedOn w:val="BodyText"/>
    <w:qFormat/>
    <w:rsid w:val="00633BC3"/>
    <w:pPr>
      <w:spacing w:after="60"/>
      <w:ind w:left="-2268"/>
    </w:pPr>
    <w:rPr>
      <w:b/>
    </w:rPr>
  </w:style>
  <w:style w:type="paragraph" w:customStyle="1" w:styleId="Heading1TOC">
    <w:name w:val="Heading1 TOC"/>
    <w:basedOn w:val="Normal"/>
    <w:qFormat/>
    <w:rsid w:val="00633BC3"/>
    <w:pPr>
      <w:spacing w:before="240" w:after="120"/>
    </w:pPr>
    <w:rPr>
      <w:rFonts w:ascii="Times New Roman" w:hAnsi="Times New Roman"/>
      <w:b/>
      <w:sz w:val="32"/>
    </w:rPr>
  </w:style>
  <w:style w:type="paragraph" w:customStyle="1" w:styleId="Heading2TOC">
    <w:name w:val="Heading2 TOC"/>
    <w:basedOn w:val="Normal"/>
    <w:qFormat/>
    <w:rsid w:val="00633BC3"/>
    <w:pPr>
      <w:spacing w:before="240" w:after="60"/>
    </w:pPr>
    <w:rPr>
      <w:rFonts w:ascii="Times New Roman" w:hAnsi="Times New Roman"/>
      <w:b/>
      <w:sz w:val="28"/>
    </w:rPr>
  </w:style>
  <w:style w:type="character" w:customStyle="1" w:styleId="Underline">
    <w:name w:val="Underline"/>
    <w:basedOn w:val="DefaultParagraphFont"/>
    <w:qFormat/>
    <w:rsid w:val="00633BC3"/>
    <w:rPr>
      <w:u w:val="single"/>
    </w:rPr>
  </w:style>
  <w:style w:type="character" w:customStyle="1" w:styleId="BoldandItalics">
    <w:name w:val="Bold and Italics"/>
    <w:qFormat/>
    <w:rsid w:val="00633BC3"/>
    <w:rPr>
      <w:b/>
      <w:i/>
      <w:u w:val="none"/>
    </w:rPr>
  </w:style>
  <w:style w:type="paragraph" w:styleId="BalloonText">
    <w:name w:val="Balloon Text"/>
    <w:basedOn w:val="Normal"/>
    <w:link w:val="BalloonTextChar"/>
    <w:rsid w:val="00633BC3"/>
    <w:rPr>
      <w:rFonts w:ascii="Tahoma" w:hAnsi="Tahoma" w:cs="Tahoma"/>
      <w:sz w:val="16"/>
      <w:szCs w:val="16"/>
    </w:rPr>
  </w:style>
  <w:style w:type="character" w:customStyle="1" w:styleId="BalloonTextChar">
    <w:name w:val="Balloon Text Char"/>
    <w:basedOn w:val="DefaultParagraphFont"/>
    <w:link w:val="BalloonText"/>
    <w:rsid w:val="00633B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B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B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BC3"/>
    <w:rPr>
      <w:b/>
      <w:color w:val="660033"/>
      <w:spacing w:val="0"/>
    </w:rPr>
  </w:style>
  <w:style w:type="paragraph" w:customStyle="1" w:styleId="Nameditemlist">
    <w:name w:val="Named item list"/>
    <w:basedOn w:val="BodyText"/>
    <w:qFormat/>
    <w:rsid w:val="00633BC3"/>
    <w:pPr>
      <w:tabs>
        <w:tab w:val="left" w:pos="2835"/>
      </w:tabs>
      <w:ind w:left="2835" w:hanging="2835"/>
    </w:pPr>
  </w:style>
  <w:style w:type="paragraph" w:customStyle="1" w:styleId="BodyTextnopadding">
    <w:name w:val="Body Text no padding"/>
    <w:basedOn w:val="BodyText"/>
    <w:qFormat/>
    <w:rsid w:val="00633BC3"/>
    <w:pPr>
      <w:spacing w:before="0" w:after="0"/>
    </w:pPr>
  </w:style>
  <w:style w:type="paragraph" w:customStyle="1" w:styleId="BodyTextBold">
    <w:name w:val="Body Text Bold"/>
    <w:basedOn w:val="BodyText"/>
    <w:qFormat/>
    <w:rsid w:val="00633BC3"/>
    <w:rPr>
      <w:b/>
    </w:rPr>
  </w:style>
  <w:style w:type="character" w:styleId="Hyperlink">
    <w:name w:val="Hyperlink"/>
    <w:basedOn w:val="DefaultParagraphFont"/>
    <w:uiPriority w:val="99"/>
    <w:unhideWhenUsed/>
    <w:rsid w:val="00362F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5969</Characters>
  <Application>Microsoft Office Word</Application>
  <DocSecurity>0</DocSecurity>
  <Lines>135</Lines>
  <Paragraphs>97</Paragraphs>
  <ScaleCrop>false</ScaleCrop>
  <Company>Author-it Software Corporation Ltd.</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HLTAMB009 Deliver intensive clinical care</dc:title>
  <dc:subject>Approved</dc:subject>
  <dc:creator>SkillsIQ</dc:creator>
  <cp:keywords>Release: 1</cp:keywords>
  <dc:description>Review Date: 12 April 2008</dc:description>
  <cp:lastModifiedBy>HSD_TPCMSd.prod</cp:lastModifiedBy>
  <cp:revision>3</cp:revision>
  <dcterms:created xsi:type="dcterms:W3CDTF">2020-10-16T05:09:00Z</dcterms:created>
  <dcterms:modified xsi:type="dcterms:W3CDTF">2020-10-16T05:09:00Z</dcterms:modified>
</cp:coreProperties>
</file>