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2614" w:rsidP="004F26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HLTAMB008 Assess and deliver standard clinical care</w:t>
      </w:r>
      <w:r>
        <w:fldChar w:fldCharType="end"/>
      </w:r>
    </w:p>
    <w:p w:rsidR="004F2614" w:rsidP="004F2614">
      <w:pPr>
        <w:pStyle w:val="Version"/>
        <w:sectPr w:rsidSect="00DD46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46B7" w:rsidP="00DD46B7">
      <w:pPr>
        <w:pStyle w:val="SuperHeading"/>
      </w:pPr>
      <w:r w:rsidRPr="00DD46B7">
        <w:t>HLTAMB008 Assess and deliver standard clinical care</w:t>
      </w:r>
    </w:p>
    <w:p w:rsidR="00000000" w:rsidRPr="00DD46B7" w:rsidP="00DD46B7">
      <w:pPr>
        <w:pStyle w:val="Heading1"/>
      </w:pPr>
      <w:bookmarkStart w:id="1" w:name="O_818834"/>
      <w:bookmarkEnd w:id="1"/>
      <w:r w:rsidRPr="00DD46B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7"/>
        <w:gridCol w:w="7049"/>
      </w:tblGrid>
      <w:tr w:rsidTr="004F26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6B7">
            <w:pPr>
              <w:pStyle w:val="BodyText"/>
              <w:rPr>
                <w:lang w:val="en-NZ"/>
              </w:rPr>
            </w:pPr>
            <w:r w:rsidRPr="00DD46B7">
              <w:t xml:space="preserve">Release </w:t>
            </w:r>
            <w:r w:rsidRPr="00DD46B7"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6B7">
            <w:pPr>
              <w:pStyle w:val="BodyText"/>
              <w:rPr>
                <w:lang w:val="en-NZ"/>
              </w:rPr>
            </w:pPr>
            <w:r w:rsidRPr="00DD46B7">
              <w:t xml:space="preserve">Comments </w:t>
            </w:r>
          </w:p>
        </w:tc>
      </w:tr>
      <w:tr w:rsidTr="004F26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6B7">
            <w:pPr>
              <w:pStyle w:val="BodyText"/>
              <w:rPr>
                <w:lang w:val="en-NZ"/>
              </w:rPr>
            </w:pPr>
            <w:r w:rsidRPr="00DD46B7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6B7" w:rsidP="00DD46B7">
            <w:pPr>
              <w:pStyle w:val="BodyText"/>
            </w:pPr>
            <w:r w:rsidRPr="00DD46B7">
              <w:t xml:space="preserve">This version was released in </w:t>
            </w:r>
            <w:r w:rsidRPr="00DD46B7">
              <w:rPr>
                <w:rStyle w:val="Emphasis"/>
              </w:rPr>
              <w:t>HLT Health Training Package release 3.0</w:t>
            </w:r>
            <w:r w:rsidRPr="00DD46B7">
              <w:t xml:space="preserve"> and meets the requirements of the 2012 Standards for Training Packages.</w:t>
            </w:r>
          </w:p>
          <w:p w:rsidR="00000000" w:rsidRPr="00DD46B7" w:rsidP="00DD46B7">
            <w:pPr>
              <w:pStyle w:val="BodyText"/>
            </w:pPr>
            <w:r w:rsidRPr="00DD46B7">
              <w:t xml:space="preserve">Merged HLTAMBAS501B/ HLTAMBCR502C </w:t>
            </w:r>
          </w:p>
          <w:p w:rsidR="00000000" w:rsidRPr="00DD46B7" w:rsidP="00DD46B7">
            <w:pPr>
              <w:pStyle w:val="BodyText"/>
            </w:pPr>
            <w:r w:rsidRPr="00DD46B7">
              <w:t xml:space="preserve">Significant changes </w:t>
            </w:r>
            <w:r w:rsidRPr="00DD46B7">
              <w:t>to the elements and performance criteria. New evidence requirements for assessment including volume and frequency requirements. Removal of pre-requisites. Minimum hours added.</w:t>
            </w:r>
          </w:p>
        </w:tc>
      </w:tr>
    </w:tbl>
    <w:p w:rsidR="00000000" w:rsidRPr="00DD46B7" w:rsidP="00DD46B7">
      <w:pPr>
        <w:pStyle w:val="BodyText"/>
      </w:pPr>
    </w:p>
    <w:p w:rsidR="00000000" w:rsidRPr="00DD46B7" w:rsidP="00DD46B7">
      <w:pPr>
        <w:pStyle w:val="AllowPageBreak"/>
      </w:pPr>
    </w:p>
    <w:p w:rsidR="00000000" w:rsidRPr="00DD46B7" w:rsidP="00DD46B7">
      <w:pPr>
        <w:pStyle w:val="Heading1"/>
      </w:pPr>
      <w:bookmarkStart w:id="2" w:name="O_818835"/>
      <w:bookmarkEnd w:id="2"/>
      <w:r w:rsidRPr="00DD46B7">
        <w:t>Application</w:t>
      </w:r>
    </w:p>
    <w:p w:rsidR="00000000" w:rsidRPr="00DD46B7" w:rsidP="004F2614">
      <w:pPr>
        <w:pStyle w:val="BodyText"/>
      </w:pPr>
      <w:r w:rsidRPr="00DD46B7">
        <w:t xml:space="preserve">This unit of competency describes the skills and </w:t>
      </w:r>
      <w:r w:rsidRPr="00DD46B7">
        <w:t xml:space="preserve">knowledge required to conduct clinical assessments and deliver standard patient care in the pre-hospital/out-of-hospital environment. </w:t>
      </w:r>
    </w:p>
    <w:p w:rsidR="00000000" w:rsidRPr="00DD46B7" w:rsidP="004F2614">
      <w:pPr>
        <w:pStyle w:val="BodyText"/>
      </w:pPr>
      <w:r w:rsidRPr="00DD46B7">
        <w:t>This unit applies to pre-hospital/out-of-hospital health care workers. The worker provides advanced life support, priori</w:t>
      </w:r>
      <w:r w:rsidRPr="00DD46B7">
        <w:t>tises clinical care, implements time-critical health care procedures and therapies, and monitors patients based on patient needs and in accordance with established clinical practice guidelines.</w:t>
      </w:r>
    </w:p>
    <w:p w:rsidR="004F2614" w:rsidRPr="004F2614" w:rsidP="004F2614">
      <w:pPr>
        <w:pStyle w:val="BodyText"/>
        <w:rPr>
          <w:i/>
        </w:rPr>
      </w:pPr>
      <w:r w:rsidRPr="004F2614">
        <w:rPr>
          <w:rStyle w:val="Emphasis"/>
        </w:rPr>
        <w:t>The skills in this unit must be applied in accordance with Co</w:t>
      </w:r>
      <w:r w:rsidRPr="004F2614">
        <w:rPr>
          <w:rStyle w:val="Emphasis"/>
        </w:rPr>
        <w:t>mmonwealth and State/Territory legislation, Australian/New Zealand Standards and industry codes of practice.</w:t>
      </w:r>
    </w:p>
    <w:p w:rsidR="00000000" w:rsidRPr="00DD46B7" w:rsidP="00DD46B7">
      <w:pPr>
        <w:pStyle w:val="Heading1"/>
      </w:pPr>
      <w:bookmarkStart w:id="3" w:name="O_818839"/>
      <w:bookmarkEnd w:id="3"/>
      <w:r w:rsidRPr="00DD46B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DD4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6B7" w:rsidP="00DD46B7">
            <w:pPr>
              <w:pStyle w:val="BodyText"/>
            </w:pPr>
            <w:r w:rsidRPr="00DD46B7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6B7">
            <w:pPr>
              <w:pStyle w:val="BodyText"/>
              <w:rPr>
                <w:lang w:val="en-NZ"/>
              </w:rPr>
            </w:pPr>
            <w:r w:rsidRPr="00DD46B7">
              <w:rPr>
                <w:rStyle w:val="SpecialBold"/>
              </w:rPr>
              <w:t>PERFORMANCE CRITERIA</w:t>
            </w:r>
          </w:p>
        </w:tc>
      </w:tr>
      <w:tr w:rsidTr="00DD4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6B7">
            <w:pPr>
              <w:pStyle w:val="BodyText"/>
              <w:rPr>
                <w:lang w:val="en-NZ"/>
              </w:rPr>
            </w:pPr>
            <w:r w:rsidRPr="00DD46B7"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6B7">
            <w:pPr>
              <w:pStyle w:val="BodyText"/>
              <w:rPr>
                <w:lang w:val="en-NZ"/>
              </w:rPr>
            </w:pPr>
            <w:r w:rsidRPr="00DD46B7">
              <w:t>Performance criteria describe the performance needed to demonstrate achievement of the element.</w:t>
            </w:r>
          </w:p>
        </w:tc>
      </w:tr>
      <w:tr w:rsidTr="00DD4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6B7">
            <w:pPr>
              <w:pStyle w:val="BodyText"/>
              <w:rPr>
                <w:lang w:val="en-NZ"/>
              </w:rPr>
            </w:pPr>
            <w:r w:rsidRPr="00DD46B7">
              <w:t xml:space="preserve">1. Perform pre-hospital/out-of-hospital patient assessment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6B7" w:rsidP="00DD46B7">
            <w:pPr>
              <w:pStyle w:val="BodyText"/>
            </w:pPr>
            <w:r w:rsidRPr="00DD46B7">
              <w:t>1.1 Conduct pre-planning of assessment before arrival at scene based on information communicated in</w:t>
            </w:r>
            <w:r w:rsidRPr="00DD46B7">
              <w:t xml:space="preserve"> the request for service</w:t>
            </w:r>
          </w:p>
          <w:p w:rsidR="00000000" w:rsidRPr="00DD46B7" w:rsidP="00DD46B7">
            <w:pPr>
              <w:pStyle w:val="BodyText"/>
            </w:pPr>
            <w:r w:rsidRPr="00DD46B7">
              <w:t xml:space="preserve">1.2 Perform appropriate clinical surveys to collect and analyse assessment information at critical points in time </w:t>
            </w:r>
          </w:p>
          <w:p w:rsidR="00000000" w:rsidRPr="00DD46B7" w:rsidP="00DD46B7">
            <w:pPr>
              <w:pStyle w:val="BodyText"/>
            </w:pPr>
            <w:r w:rsidRPr="00DD46B7">
              <w:t xml:space="preserve">1.3 Use applied clinical knowledge to assess the </w:t>
            </w:r>
            <w:r w:rsidRPr="00DD46B7">
              <w:t xml:space="preserve">mechanism of injury, pattern of injury and potential for injury to </w:t>
            </w:r>
            <w:r w:rsidRPr="00DD46B7">
              <w:t>identify any non-obvious clinical signs during patient assessment</w:t>
            </w:r>
          </w:p>
          <w:p w:rsidR="00000000" w:rsidRPr="00DD46B7" w:rsidP="00DD46B7">
            <w:pPr>
              <w:pStyle w:val="BodyText"/>
            </w:pPr>
            <w:r w:rsidRPr="00DD46B7">
              <w:t>1.4 Use a critical questioning process to make links between patient’s illness or injury and information found at the scene</w:t>
            </w:r>
          </w:p>
          <w:p w:rsidR="00000000" w:rsidRPr="00DD46B7" w:rsidP="00DD46B7">
            <w:pPr>
              <w:pStyle w:val="BodyText"/>
            </w:pPr>
            <w:r w:rsidRPr="00DD46B7">
              <w:t xml:space="preserve">1.5 Base patient assessment on a demonstrable and clearly thought </w:t>
            </w:r>
            <w:r w:rsidRPr="00DD46B7">
              <w:t>out series of problem solving steps or linkages</w:t>
            </w:r>
          </w:p>
          <w:p w:rsidR="00000000" w:rsidP="00DD46B7">
            <w:pPr>
              <w:pStyle w:val="BodyText"/>
              <w:rPr>
                <w:lang w:val="en-NZ"/>
              </w:rPr>
            </w:pPr>
          </w:p>
        </w:tc>
      </w:tr>
      <w:tr w:rsidTr="00DD4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6B7">
            <w:pPr>
              <w:pStyle w:val="BodyText"/>
              <w:rPr>
                <w:lang w:val="en-NZ"/>
              </w:rPr>
            </w:pPr>
            <w:r w:rsidRPr="00DD46B7">
              <w:t>2. Identify variations in physical health status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6B7" w:rsidP="00DD46B7">
            <w:pPr>
              <w:pStyle w:val="BodyText"/>
            </w:pPr>
            <w:r w:rsidRPr="00DD46B7">
              <w:t>2.1 Integrate principles of anatomy and pathophysiology with assessment data for specific conditions, disorders and injuries</w:t>
            </w:r>
          </w:p>
          <w:p w:rsidR="00000000" w:rsidRPr="00DD46B7" w:rsidP="00DD46B7">
            <w:pPr>
              <w:pStyle w:val="BodyText"/>
            </w:pPr>
            <w:r w:rsidRPr="00DD46B7">
              <w:t>2.2 Identify variations from nor</w:t>
            </w:r>
            <w:r w:rsidRPr="00DD46B7">
              <w:t>mal homeostasis and body system functions using established clinical guidelines/protocols</w:t>
            </w:r>
          </w:p>
          <w:p w:rsidR="00000000" w:rsidRPr="00DD46B7" w:rsidP="00DD46B7">
            <w:pPr>
              <w:pStyle w:val="BodyText"/>
            </w:pPr>
            <w:r w:rsidRPr="00DD46B7">
              <w:t>2.3 Identify variations to cellular metabolism when assessing patient for poor states of perfusion</w:t>
            </w:r>
          </w:p>
          <w:p w:rsidR="00000000" w:rsidRPr="00DD46B7" w:rsidP="00DD46B7">
            <w:pPr>
              <w:pStyle w:val="BodyText"/>
            </w:pPr>
            <w:r w:rsidRPr="00DD46B7">
              <w:t>2.4 Analyse the need for and potential impact of treatments and pha</w:t>
            </w:r>
            <w:r w:rsidRPr="00DD46B7">
              <w:t>rmacological therapies on patient’s health status</w:t>
            </w:r>
          </w:p>
          <w:p w:rsidR="00000000" w:rsidRPr="00DD46B7" w:rsidP="00DD46B7">
            <w:pPr>
              <w:pStyle w:val="BodyText"/>
            </w:pPr>
            <w:r w:rsidRPr="00DD46B7">
              <w:t>2.5 Identify the effects on patient’s health status of pharmacological therapies based on pharmacology, pharmacokinetics and pharmacodynamics</w:t>
            </w:r>
          </w:p>
          <w:p w:rsidR="00000000" w:rsidRPr="00DD46B7" w:rsidP="00DD46B7">
            <w:pPr>
              <w:pStyle w:val="BodyText"/>
            </w:pPr>
            <w:r w:rsidRPr="00DD46B7">
              <w:t>2.6 Use diagnostic reasoning when determining the potential for injury or illness</w:t>
            </w:r>
          </w:p>
          <w:p w:rsidR="00000000" w:rsidP="00DD46B7">
            <w:pPr>
              <w:pStyle w:val="BodyText"/>
              <w:rPr>
                <w:lang w:val="en-NZ"/>
              </w:rPr>
            </w:pPr>
          </w:p>
        </w:tc>
      </w:tr>
      <w:tr w:rsidTr="00DD4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6B7">
            <w:pPr>
              <w:pStyle w:val="BodyText"/>
              <w:rPr>
                <w:lang w:val="en-NZ"/>
              </w:rPr>
            </w:pPr>
            <w:r w:rsidRPr="00DD46B7">
              <w:t xml:space="preserve">3. Plan pre-hospital/out-of-hospital patient care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6B7" w:rsidP="00DD46B7">
            <w:pPr>
              <w:pStyle w:val="BodyText"/>
            </w:pPr>
            <w:r w:rsidRPr="00DD46B7">
              <w:t>3.1 Identify main patient complaints as a basis for prioritised treatment and care based on assessed patient needs and ov</w:t>
            </w:r>
            <w:r w:rsidRPr="00DD46B7">
              <w:t>erall assessment of the scene</w:t>
            </w:r>
          </w:p>
          <w:p w:rsidR="00000000" w:rsidRPr="00DD46B7" w:rsidP="00DD46B7">
            <w:pPr>
              <w:pStyle w:val="BodyText"/>
            </w:pPr>
            <w:r w:rsidRPr="00DD46B7">
              <w:t>3.2 Analyse clinical and situational data gathered to plan treatment</w:t>
            </w:r>
          </w:p>
          <w:p w:rsidR="00000000" w:rsidRPr="00DD46B7" w:rsidP="00DD46B7">
            <w:pPr>
              <w:pStyle w:val="BodyText"/>
            </w:pPr>
            <w:r w:rsidRPr="00DD46B7">
              <w:t>3.3 Establish patient management plan based on primary and secondary survey, known patient history, assessment of the scene and factors related to distance f</w:t>
            </w:r>
            <w:r w:rsidRPr="00DD46B7">
              <w:t>rom hospital or medical care</w:t>
            </w:r>
          </w:p>
          <w:p w:rsidR="00000000" w:rsidRPr="00DD46B7" w:rsidP="00DD46B7">
            <w:pPr>
              <w:pStyle w:val="BodyText"/>
            </w:pPr>
            <w:r w:rsidRPr="00DD46B7">
              <w:t>3.4 Evaluate the injury and potential for deterioration and develop contingency plans based on mechanisms of injury</w:t>
            </w:r>
          </w:p>
          <w:p w:rsidR="00000000" w:rsidRPr="00DD46B7" w:rsidP="00DD46B7">
            <w:pPr>
              <w:pStyle w:val="BodyText"/>
            </w:pPr>
            <w:r w:rsidRPr="00DD46B7">
              <w:t>3.5 Systematically evaluate and interpret patient assessment information to make judgements regarding patient c</w:t>
            </w:r>
            <w:r w:rsidRPr="00DD46B7">
              <w:t>are requirements</w:t>
            </w:r>
          </w:p>
          <w:p w:rsidR="00000000" w:rsidRPr="00DD46B7" w:rsidP="00DD46B7">
            <w:pPr>
              <w:pStyle w:val="BodyText"/>
            </w:pPr>
            <w:r w:rsidRPr="00DD46B7">
              <w:t>3.6 Ensure judgement, which forms the basis on which treatment is planned, can be reasonably justified in terms of the information available at the time</w:t>
            </w:r>
          </w:p>
          <w:p w:rsidR="00000000" w:rsidRPr="00DD46B7" w:rsidP="00DD46B7">
            <w:pPr>
              <w:pStyle w:val="BodyText"/>
            </w:pPr>
            <w:r w:rsidRPr="00DD46B7">
              <w:t>3.7 Differentiate between patients who require rapid stabilisation and transport becau</w:t>
            </w:r>
            <w:r w:rsidRPr="00DD46B7">
              <w:t>se of trauma or illness, and those who require further on-the-scene assessment and management</w:t>
            </w:r>
          </w:p>
          <w:p w:rsidR="00000000" w:rsidRPr="00DD46B7" w:rsidP="00DD46B7">
            <w:pPr>
              <w:pStyle w:val="BodyText"/>
            </w:pPr>
            <w:r w:rsidRPr="00DD46B7">
              <w:t>3.8 Determine time-critical issues given resource considerations</w:t>
            </w:r>
          </w:p>
          <w:p w:rsidR="00000000" w:rsidP="00DD46B7">
            <w:pPr>
              <w:pStyle w:val="BodyText"/>
              <w:rPr>
                <w:lang w:val="en-NZ"/>
              </w:rPr>
            </w:pPr>
          </w:p>
        </w:tc>
      </w:tr>
      <w:tr w:rsidTr="00DD4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6B7">
            <w:pPr>
              <w:pStyle w:val="BodyText"/>
              <w:rPr>
                <w:lang w:val="en-NZ"/>
              </w:rPr>
            </w:pPr>
            <w:r w:rsidRPr="00DD46B7">
              <w:t>4. Implement pre-hospital/out-of-hospital patient care procedures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6B7" w:rsidP="00DD46B7">
            <w:pPr>
              <w:pStyle w:val="BodyText"/>
            </w:pPr>
            <w:r w:rsidRPr="00DD46B7">
              <w:t>4.1 Implement all care and tr</w:t>
            </w:r>
            <w:r w:rsidRPr="00DD46B7">
              <w:t>eatment procedures to the level of own expertise and within established clinical guidelines and protocols</w:t>
            </w:r>
          </w:p>
          <w:p w:rsidR="00000000" w:rsidRPr="00DD46B7" w:rsidP="00DD46B7">
            <w:pPr>
              <w:pStyle w:val="BodyText"/>
            </w:pPr>
            <w:r w:rsidRPr="00DD46B7">
              <w:t>4.2 Commence pharmacological therapies as patient’s presenting condition determines, with reference to established clinical guidelines and protocols a</w:t>
            </w:r>
            <w:r w:rsidRPr="00DD46B7">
              <w:t>nd pharmacological requirements</w:t>
            </w:r>
          </w:p>
          <w:p w:rsidR="00000000" w:rsidRPr="00DD46B7" w:rsidP="00DD46B7">
            <w:pPr>
              <w:pStyle w:val="BodyText"/>
            </w:pPr>
            <w:r w:rsidRPr="00DD46B7">
              <w:t>4.3 Recognise the need for assistance where the situation or patient’s condition requires treatment that is outside the practice guidelines and seek help immediately</w:t>
            </w:r>
          </w:p>
          <w:p w:rsidR="00000000" w:rsidP="00DD46B7">
            <w:pPr>
              <w:pStyle w:val="BodyText"/>
              <w:rPr>
                <w:lang w:val="en-NZ"/>
              </w:rPr>
            </w:pPr>
          </w:p>
        </w:tc>
      </w:tr>
      <w:tr w:rsidTr="00DD4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6B7">
            <w:pPr>
              <w:pStyle w:val="BodyText"/>
              <w:rPr>
                <w:lang w:val="en-NZ"/>
              </w:rPr>
            </w:pPr>
            <w:r w:rsidRPr="00DD46B7">
              <w:t>5. Monitor and evaluate pre-hospital/out-of-hospital pat</w:t>
            </w:r>
            <w:r w:rsidRPr="00DD46B7">
              <w:t>ient care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6B7" w:rsidP="00DD46B7">
            <w:pPr>
              <w:pStyle w:val="BodyText"/>
            </w:pPr>
            <w:r w:rsidRPr="00DD46B7">
              <w:t>5.1 Monitor all aspects of patient’s condition at appropriate intervals to establish trends</w:t>
            </w:r>
          </w:p>
          <w:p w:rsidR="00000000" w:rsidRPr="00DD46B7" w:rsidP="00DD46B7">
            <w:pPr>
              <w:pStyle w:val="BodyText"/>
            </w:pPr>
            <w:r w:rsidRPr="00DD46B7">
              <w:t>5.2 Assess potential effects on patient’s condition of procedures implemented</w:t>
            </w:r>
          </w:p>
          <w:p w:rsidR="00000000" w:rsidRPr="00DD46B7" w:rsidP="00DD46B7">
            <w:pPr>
              <w:pStyle w:val="BodyText"/>
            </w:pPr>
            <w:r w:rsidRPr="00DD46B7">
              <w:t>5.3 Monitor pharmacological therapy, noting effectiveness of treatment regime and amend according to patient’s condition</w:t>
            </w:r>
          </w:p>
          <w:p w:rsidR="00000000" w:rsidRPr="00DD46B7" w:rsidP="00DD46B7">
            <w:pPr>
              <w:pStyle w:val="BodyText"/>
            </w:pPr>
            <w:r w:rsidRPr="00DD46B7">
              <w:t>5.4 Recognise changes in patient’s condition and adapt management according to the scope or authority to practice of the attending offi</w:t>
            </w:r>
            <w:r w:rsidRPr="00DD46B7">
              <w:t>cer</w:t>
            </w:r>
          </w:p>
          <w:p w:rsidR="00000000" w:rsidRPr="00DD46B7" w:rsidP="00DD46B7">
            <w:pPr>
              <w:pStyle w:val="BodyText"/>
            </w:pPr>
            <w:r w:rsidRPr="00DD46B7">
              <w:t xml:space="preserve">5.5 Evaluate patient care interventions used against pre-hospital/out-of-hospital best practice for clinical care </w:t>
            </w:r>
          </w:p>
          <w:p w:rsidR="00000000" w:rsidP="00DD46B7">
            <w:pPr>
              <w:pStyle w:val="BodyText"/>
              <w:rPr>
                <w:lang w:val="en-NZ"/>
              </w:rPr>
            </w:pPr>
          </w:p>
        </w:tc>
      </w:tr>
      <w:tr w:rsidTr="00DD4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6B7">
            <w:pPr>
              <w:pStyle w:val="BodyText"/>
              <w:rPr>
                <w:lang w:val="en-NZ"/>
              </w:rPr>
            </w:pPr>
            <w:r w:rsidRPr="00DD46B7">
              <w:t>6.  Hand over patient requiring pre-hospital/out-of-hospital patient care to receiving facility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6B7" w:rsidP="00DD46B7">
            <w:pPr>
              <w:pStyle w:val="BodyText"/>
            </w:pPr>
            <w:r w:rsidRPr="00DD46B7">
              <w:t>6.1 Document relevant patient details a</w:t>
            </w:r>
            <w:r w:rsidRPr="00DD46B7">
              <w:t>ccording to local standard operation procedures</w:t>
            </w:r>
          </w:p>
          <w:p w:rsidR="00000000" w:rsidRPr="00DD46B7" w:rsidP="00DD46B7">
            <w:pPr>
              <w:pStyle w:val="BodyText"/>
            </w:pPr>
            <w:r w:rsidRPr="00DD46B7">
              <w:t>6.2 Maintain patient confidentiality at all times</w:t>
            </w:r>
          </w:p>
          <w:p w:rsidR="00000000" w:rsidRPr="00DD46B7" w:rsidP="00DD46B7">
            <w:pPr>
              <w:pStyle w:val="BodyText"/>
            </w:pPr>
            <w:r w:rsidRPr="00DD46B7">
              <w:t>6.3 Ensure documentation for handover procedures conveys all necessary information</w:t>
            </w:r>
          </w:p>
          <w:p w:rsidR="00000000" w:rsidRPr="00DD46B7" w:rsidP="00DD46B7">
            <w:pPr>
              <w:pStyle w:val="BodyText"/>
            </w:pPr>
            <w:r w:rsidRPr="00DD46B7">
              <w:t>6.4 Maintain patient care until responsibility for patient care is taken ov</w:t>
            </w:r>
            <w:r w:rsidRPr="00DD46B7">
              <w:t>er by staff of the receiving agency</w:t>
            </w:r>
          </w:p>
          <w:p w:rsidR="00000000" w:rsidRPr="00DD46B7" w:rsidP="00DD46B7">
            <w:pPr>
              <w:pStyle w:val="BodyText"/>
            </w:pPr>
            <w:r w:rsidRPr="00DD46B7">
              <w:t>6.5 Convey information appropriately to those individuals involved in ongoing patient care to facilitate understanding and optimise continuing patient care</w:t>
            </w:r>
          </w:p>
        </w:tc>
      </w:tr>
    </w:tbl>
    <w:p w:rsidR="00000000" w:rsidRPr="00DD46B7" w:rsidP="00DD46B7">
      <w:pPr>
        <w:pStyle w:val="BodyText"/>
      </w:pPr>
    </w:p>
    <w:p w:rsidR="00000000" w:rsidRPr="00DD46B7" w:rsidP="00DD46B7">
      <w:pPr>
        <w:pStyle w:val="AllowPageBreak"/>
      </w:pPr>
    </w:p>
    <w:p w:rsidR="00000000" w:rsidRPr="00DD46B7" w:rsidP="00DD46B7">
      <w:pPr>
        <w:pStyle w:val="Heading1"/>
      </w:pPr>
      <w:bookmarkStart w:id="4" w:name="O_818840"/>
      <w:bookmarkEnd w:id="4"/>
      <w:r w:rsidRPr="00DD46B7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F26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6B7">
            <w:pPr>
              <w:pStyle w:val="BodyText"/>
              <w:rPr>
                <w:lang w:val="en-NZ"/>
              </w:rPr>
            </w:pPr>
            <w:r w:rsidRPr="00DD46B7">
              <w:rPr>
                <w:rStyle w:val="Emphasis"/>
              </w:rPr>
              <w:t>The Foundation Skills descr</w:t>
            </w:r>
            <w:r w:rsidRPr="00DD46B7">
              <w:rPr>
                <w:rStyle w:val="Emphasis"/>
              </w:rPr>
              <w:t xml:space="preserve">ibe those required skills (language, literacy, numeracy and employment skills) that </w:t>
            </w:r>
            <w:r w:rsidRPr="00DD46B7">
              <w:t xml:space="preserve">are essential to </w:t>
            </w:r>
            <w:r w:rsidRPr="00DD46B7">
              <w:rPr>
                <w:rStyle w:val="Emphasis"/>
              </w:rPr>
              <w:t>performance.</w:t>
            </w:r>
          </w:p>
        </w:tc>
      </w:tr>
      <w:tr w:rsidTr="004F26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6B7" w:rsidP="00DD46B7">
            <w:pPr>
              <w:pStyle w:val="BodyText"/>
            </w:pPr>
            <w:r w:rsidRPr="00DD46B7">
              <w:t>Foundation skills essential to performance are explicit in the performance criteria of this unit of competency.</w:t>
            </w:r>
          </w:p>
        </w:tc>
      </w:tr>
    </w:tbl>
    <w:p w:rsidR="004F2614" w:rsidP="00DD46B7">
      <w:pPr>
        <w:pStyle w:val="BodyText"/>
      </w:pPr>
    </w:p>
    <w:p w:rsidR="004F2614" w:rsidP="00DD46B7">
      <w:pPr>
        <w:pStyle w:val="BodyText"/>
      </w:pPr>
    </w:p>
    <w:p w:rsidR="00000000" w:rsidRPr="00DD46B7" w:rsidP="00DD46B7">
      <w:pPr>
        <w:pStyle w:val="Heading1"/>
      </w:pPr>
      <w:bookmarkStart w:id="5" w:name="O_818842"/>
      <w:bookmarkEnd w:id="5"/>
      <w:r w:rsidRPr="00DD46B7">
        <w:t>Unit Mapping Information</w:t>
      </w:r>
    </w:p>
    <w:p w:rsidR="00000000" w:rsidRPr="00DD46B7" w:rsidP="004F2614">
      <w:pPr>
        <w:pStyle w:val="BodyText"/>
      </w:pPr>
      <w:r w:rsidRPr="00DD46B7">
        <w:t>No Equivalent Unit</w:t>
      </w:r>
    </w:p>
    <w:p w:rsidR="00000000" w:rsidRPr="00DD46B7" w:rsidP="00DD46B7">
      <w:pPr>
        <w:pStyle w:val="Heading1"/>
      </w:pPr>
      <w:bookmarkStart w:id="6" w:name="O_818849"/>
      <w:bookmarkEnd w:id="6"/>
      <w:r w:rsidRPr="00DD46B7">
        <w:t>Links</w:t>
      </w:r>
    </w:p>
    <w:p w:rsidR="00000000" w:rsidRPr="00DD46B7" w:rsidP="004F2614">
      <w:pPr>
        <w:pStyle w:val="BodyText"/>
      </w:pPr>
      <w:r w:rsidRPr="00DD46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EF47DF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DD46B7" w:rsidP="00DD46B7"/>
    <w:sectPr w:rsidSect="00DD46B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6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6B7" w:rsidRPr="004F2614" w:rsidP="004F26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6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614" w:rsidP="00DD46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2614" w:rsidP="00DD46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F2614" w:rsidP="00DD46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6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6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46B7" w:rsidRPr="004F2614" w:rsidP="004F26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6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614" w:rsidRPr="002D2AF8" w:rsidP="00DD46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HLTAMB008 Assess and deliver standard clinical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October 2020</w:t>
    </w:r>
    <w:r>
      <w:fldChar w:fldCharType="end"/>
    </w:r>
  </w:p>
  <w:p w:rsidR="004F2614" w:rsidP="00DD46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46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46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46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46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46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46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46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46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46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46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46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46B7"/>
  </w:style>
  <w:style w:type="character" w:customStyle="1" w:styleId="Heading1Char">
    <w:name w:val="Heading 1 Char"/>
    <w:basedOn w:val="DefaultParagraphFont"/>
    <w:link w:val="Heading1"/>
    <w:rsid w:val="00DD46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46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46B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D46B7"/>
    <w:rPr>
      <w:b/>
      <w:spacing w:val="0"/>
    </w:rPr>
  </w:style>
  <w:style w:type="character" w:styleId="Emphasis">
    <w:name w:val="Emphasis"/>
    <w:basedOn w:val="DefaultParagraphFont"/>
    <w:qFormat/>
    <w:rsid w:val="00DD46B7"/>
    <w:rPr>
      <w:i/>
    </w:rPr>
  </w:style>
  <w:style w:type="paragraph" w:customStyle="1" w:styleId="SuperHeading">
    <w:name w:val="SuperHeading"/>
    <w:basedOn w:val="Normal"/>
    <w:rsid w:val="00DD46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46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46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46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46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46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46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46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46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46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46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46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46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46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46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46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46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46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46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46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46B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D46B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D46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46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46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46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46B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46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46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46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46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46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46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46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46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46B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D46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46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46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46B7"/>
  </w:style>
  <w:style w:type="paragraph" w:styleId="TableofFigures">
    <w:name w:val="table of figures"/>
    <w:basedOn w:val="Normal"/>
    <w:next w:val="Normal"/>
    <w:semiHidden/>
    <w:rsid w:val="00DD46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46B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D46B7"/>
    <w:rPr>
      <w:rFonts w:ascii="Wingdings" w:hAnsi="Wingdings"/>
    </w:rPr>
  </w:style>
  <w:style w:type="paragraph" w:customStyle="1" w:styleId="TableHeading">
    <w:name w:val="Table Heading"/>
    <w:basedOn w:val="HeadingBase"/>
    <w:rsid w:val="00DD46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46B7"/>
    <w:rPr>
      <w:color w:val="0033CC"/>
      <w:u w:val="none"/>
    </w:rPr>
  </w:style>
  <w:style w:type="paragraph" w:customStyle="1" w:styleId="BodyTextRight">
    <w:name w:val="Body Text Right"/>
    <w:basedOn w:val="BodyText"/>
    <w:rsid w:val="00DD46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46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46B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46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46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46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46B7"/>
    <w:rPr>
      <w:sz w:val="32"/>
    </w:rPr>
  </w:style>
  <w:style w:type="paragraph" w:customStyle="1" w:styleId="HeadingProcedure">
    <w:name w:val="Heading Procedure"/>
    <w:basedOn w:val="HeadingBase"/>
    <w:next w:val="Normal"/>
    <w:rsid w:val="00DD46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46B7"/>
    <w:pPr>
      <w:spacing w:before="60" w:after="60"/>
    </w:pPr>
  </w:style>
  <w:style w:type="paragraph" w:styleId="ListContinue">
    <w:name w:val="List Continue"/>
    <w:basedOn w:val="List"/>
    <w:rsid w:val="00DD46B7"/>
    <w:pPr>
      <w:ind w:firstLine="0"/>
    </w:pPr>
  </w:style>
  <w:style w:type="paragraph" w:customStyle="1" w:styleId="ListNote">
    <w:name w:val="List Note"/>
    <w:basedOn w:val="List"/>
    <w:rsid w:val="00DD46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46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46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46B7"/>
    <w:rPr>
      <w:rFonts w:ascii="Courier New" w:hAnsi="Courier New"/>
    </w:rPr>
  </w:style>
  <w:style w:type="paragraph" w:customStyle="1" w:styleId="NoteBullet">
    <w:name w:val="Note Bullet"/>
    <w:basedOn w:val="Note"/>
    <w:rsid w:val="00DD46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46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46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46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46B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D46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46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46B7"/>
    <w:rPr>
      <w:b/>
      <w:smallCaps/>
    </w:rPr>
  </w:style>
  <w:style w:type="paragraph" w:customStyle="1" w:styleId="TableListNumber">
    <w:name w:val="Table List Number"/>
    <w:basedOn w:val="ListNumber"/>
    <w:rsid w:val="00DD46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46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46B7"/>
    <w:pPr>
      <w:numPr>
        <w:numId w:val="7"/>
      </w:numPr>
    </w:pPr>
  </w:style>
  <w:style w:type="paragraph" w:customStyle="1" w:styleId="ListAlpha2">
    <w:name w:val="List Alpha 2"/>
    <w:basedOn w:val="List2"/>
    <w:rsid w:val="00DD46B7"/>
    <w:pPr>
      <w:numPr>
        <w:numId w:val="6"/>
      </w:numPr>
    </w:pPr>
  </w:style>
  <w:style w:type="paragraph" w:styleId="List2">
    <w:name w:val="List 2"/>
    <w:basedOn w:val="BodyText"/>
    <w:rsid w:val="00DD46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46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46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46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46B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46B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D46B7"/>
    <w:pPr>
      <w:numPr>
        <w:numId w:val="2"/>
      </w:numPr>
    </w:pPr>
  </w:style>
  <w:style w:type="paragraph" w:styleId="ListContinue2">
    <w:name w:val="List Continue 2"/>
    <w:basedOn w:val="List2"/>
    <w:rsid w:val="00DD46B7"/>
    <w:pPr>
      <w:ind w:firstLine="0"/>
    </w:pPr>
  </w:style>
  <w:style w:type="paragraph" w:styleId="ListContinue3">
    <w:name w:val="List Continue 3"/>
    <w:basedOn w:val="List3"/>
    <w:rsid w:val="00DD46B7"/>
    <w:pPr>
      <w:ind w:left="1021" w:firstLine="0"/>
    </w:pPr>
  </w:style>
  <w:style w:type="paragraph" w:styleId="ListContinue4">
    <w:name w:val="List Continue 4"/>
    <w:basedOn w:val="List4"/>
    <w:rsid w:val="00DD46B7"/>
    <w:pPr>
      <w:ind w:firstLine="0"/>
    </w:pPr>
  </w:style>
  <w:style w:type="paragraph" w:styleId="ListContinue5">
    <w:name w:val="List Continue 5"/>
    <w:basedOn w:val="List5"/>
    <w:rsid w:val="00DD46B7"/>
    <w:pPr>
      <w:ind w:firstLine="0"/>
    </w:pPr>
  </w:style>
  <w:style w:type="paragraph" w:styleId="ListNumber3">
    <w:name w:val="List Number 3"/>
    <w:basedOn w:val="List3"/>
    <w:rsid w:val="00DD46B7"/>
    <w:pPr>
      <w:numPr>
        <w:numId w:val="3"/>
      </w:numPr>
    </w:pPr>
  </w:style>
  <w:style w:type="paragraph" w:styleId="ListNumber4">
    <w:name w:val="List Number 4"/>
    <w:basedOn w:val="List4"/>
    <w:rsid w:val="00DD46B7"/>
    <w:pPr>
      <w:numPr>
        <w:numId w:val="4"/>
      </w:numPr>
    </w:pPr>
  </w:style>
  <w:style w:type="paragraph" w:styleId="ListNumber5">
    <w:name w:val="List Number 5"/>
    <w:basedOn w:val="List5"/>
    <w:rsid w:val="00DD46B7"/>
    <w:pPr>
      <w:numPr>
        <w:numId w:val="5"/>
      </w:numPr>
    </w:pPr>
  </w:style>
  <w:style w:type="paragraph" w:styleId="BlockText">
    <w:name w:val="Block Text"/>
    <w:basedOn w:val="Normal"/>
    <w:rsid w:val="00DD46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46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46B7"/>
    <w:rPr>
      <w:sz w:val="16"/>
      <w:vertAlign w:val="superscript"/>
    </w:rPr>
  </w:style>
  <w:style w:type="character" w:customStyle="1" w:styleId="Symbols">
    <w:name w:val="Symbols"/>
    <w:basedOn w:val="DefaultParagraphFont"/>
    <w:rsid w:val="00DD46B7"/>
    <w:rPr>
      <w:rFonts w:ascii="Symbol" w:hAnsi="Symbol"/>
    </w:rPr>
  </w:style>
  <w:style w:type="character" w:customStyle="1" w:styleId="MenuOptions">
    <w:name w:val="Menu Options"/>
    <w:basedOn w:val="DefaultParagraphFont"/>
    <w:rsid w:val="00DD46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46B7"/>
    <w:rPr>
      <w:b/>
    </w:rPr>
  </w:style>
  <w:style w:type="character" w:customStyle="1" w:styleId="Underlined">
    <w:name w:val="Underlined"/>
    <w:basedOn w:val="DefaultParagraphFont"/>
    <w:rsid w:val="00DD46B7"/>
    <w:rPr>
      <w:u w:val="single"/>
    </w:rPr>
  </w:style>
  <w:style w:type="paragraph" w:customStyle="1" w:styleId="TableBodyTextRight">
    <w:name w:val="Table Body Text Right"/>
    <w:basedOn w:val="TableBodyText"/>
    <w:rsid w:val="00DD46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46B7"/>
    <w:rPr>
      <w:sz w:val="18"/>
    </w:rPr>
  </w:style>
  <w:style w:type="paragraph" w:customStyle="1" w:styleId="BodySmallRight">
    <w:name w:val="Body Small Right"/>
    <w:basedOn w:val="BodyTextRight"/>
    <w:rsid w:val="00DD46B7"/>
    <w:rPr>
      <w:sz w:val="18"/>
      <w:szCs w:val="18"/>
    </w:rPr>
  </w:style>
  <w:style w:type="paragraph" w:customStyle="1" w:styleId="MarginEdition">
    <w:name w:val="Margin Edition"/>
    <w:basedOn w:val="MarginNote"/>
    <w:rsid w:val="00DD46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46B7"/>
    <w:rPr>
      <w:sz w:val="2"/>
      <w:szCs w:val="2"/>
    </w:rPr>
  </w:style>
  <w:style w:type="character" w:customStyle="1" w:styleId="Small">
    <w:name w:val="Small"/>
    <w:basedOn w:val="DefaultParagraphFont"/>
    <w:rsid w:val="00DD46B7"/>
    <w:rPr>
      <w:sz w:val="16"/>
    </w:rPr>
  </w:style>
  <w:style w:type="paragraph" w:customStyle="1" w:styleId="WideTable">
    <w:name w:val="Wide Table"/>
    <w:basedOn w:val="Normal"/>
    <w:rsid w:val="00DD46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46B7"/>
  </w:style>
  <w:style w:type="paragraph" w:styleId="Quote">
    <w:name w:val="Quote"/>
    <w:basedOn w:val="Heading1"/>
    <w:link w:val="QuoteChar"/>
    <w:qFormat/>
    <w:rsid w:val="00DD46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46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46B7"/>
    <w:pPr>
      <w:pageBreakBefore/>
    </w:pPr>
  </w:style>
  <w:style w:type="paragraph" w:customStyle="1" w:styleId="Border">
    <w:name w:val="Border"/>
    <w:basedOn w:val="Normal"/>
    <w:qFormat/>
    <w:rsid w:val="00DD46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46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46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46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46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46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46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46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46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46B7"/>
    <w:rPr>
      <w:u w:val="single"/>
    </w:rPr>
  </w:style>
  <w:style w:type="character" w:customStyle="1" w:styleId="BoldandItalics">
    <w:name w:val="Bold and Italics"/>
    <w:qFormat/>
    <w:rsid w:val="00DD46B7"/>
    <w:rPr>
      <w:b/>
      <w:i/>
      <w:u w:val="none"/>
    </w:rPr>
  </w:style>
  <w:style w:type="paragraph" w:styleId="BalloonText">
    <w:name w:val="Balloon Text"/>
    <w:basedOn w:val="Normal"/>
    <w:link w:val="BalloonTextChar"/>
    <w:rsid w:val="00DD46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46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46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46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46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46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46B7"/>
    <w:pPr>
      <w:spacing w:before="0" w:after="0"/>
    </w:pPr>
  </w:style>
  <w:style w:type="paragraph" w:customStyle="1" w:styleId="BodyTextBold">
    <w:name w:val="Body Text Bold"/>
    <w:basedOn w:val="BodyText"/>
    <w:qFormat/>
    <w:rsid w:val="00DD46B7"/>
    <w:rPr>
      <w:b/>
    </w:rPr>
  </w:style>
  <w:style w:type="character" w:styleId="Hyperlink">
    <w:name w:val="Hyperlink"/>
    <w:basedOn w:val="DefaultParagraphFont"/>
    <w:uiPriority w:val="99"/>
    <w:unhideWhenUsed/>
    <w:rsid w:val="004F26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843</Words>
  <Characters>5531</Characters>
  <Application>Microsoft Office Word</Application>
  <DocSecurity>0</DocSecurity>
  <Lines>167</Lines>
  <Paragraphs>75</Paragraphs>
  <ScaleCrop>false</ScaleCrop>
  <Company>Author-it Software Corporation Ltd.</Company>
  <LinksUpToDate>false</LinksUpToDate>
  <CharactersWithSpaces>6299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HLTAMB008 Assess and deliver standard clinical care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2020-10-16T06:51:00Z</dcterms:created>
  <dcterms:modified xsi:type="dcterms:W3CDTF">2020-10-16T06:51:00Z</dcterms:modified>
</cp:coreProperties>
</file>