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6AE" w:rsidP="001646AE">
      <w:pPr>
        <w:pStyle w:val="Title"/>
      </w:pPr>
      <w:r>
        <w:fldChar w:fldCharType="begin"/>
      </w:r>
      <w:r>
        <w:instrText xml:space="preserve"> TITLE   \* MERGEFORMAT </w:instrText>
      </w:r>
      <w:r>
        <w:fldChar w:fldCharType="separate"/>
      </w:r>
      <w:r>
        <w:t>Assessment Requirements for HLTAMB008 Assess and deliver standard clinical care</w:t>
      </w:r>
      <w:r>
        <w:fldChar w:fldCharType="end"/>
      </w:r>
    </w:p>
    <w:p w:rsidR="001646AE" w:rsidP="001646AE">
      <w:pPr>
        <w:pStyle w:val="Version"/>
        <w:sectPr w:rsidSect="009B27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7FF" w:rsidP="009B27FF">
      <w:pPr>
        <w:pStyle w:val="SuperHeading"/>
      </w:pPr>
      <w:r w:rsidRPr="009B27FF">
        <w:t>Assessment Requirements for HLTAMB008 Assess and deliver standard clinical care</w:t>
      </w:r>
    </w:p>
    <w:p w:rsidR="00000000" w:rsidRPr="009B27FF" w:rsidP="009B27FF">
      <w:pPr>
        <w:pStyle w:val="Heading1"/>
      </w:pPr>
      <w:bookmarkStart w:id="1" w:name="O_818844"/>
      <w:bookmarkEnd w:id="1"/>
      <w:r w:rsidRPr="009B27FF">
        <w:t>Modification History</w:t>
      </w:r>
    </w:p>
    <w:tbl>
      <w:tblPr>
        <w:tblW w:w="0" w:type="auto"/>
        <w:tblCellMar>
          <w:left w:w="62" w:type="dxa"/>
          <w:right w:w="62" w:type="dxa"/>
        </w:tblCellMar>
        <w:tblLook w:val="0000"/>
      </w:tblPr>
      <w:tblGrid>
        <w:gridCol w:w="2147"/>
        <w:gridCol w:w="7049"/>
      </w:tblGrid>
      <w:tr w:rsidTr="001646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FF">
            <w:pPr>
              <w:pStyle w:val="BodyText"/>
              <w:rPr>
                <w:lang w:val="en-NZ"/>
              </w:rPr>
            </w:pPr>
            <w:r w:rsidRPr="009B27FF">
              <w:t xml:space="preserve">Release </w:t>
            </w:r>
            <w:r w:rsidRPr="009B27FF">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FF">
            <w:pPr>
              <w:pStyle w:val="BodyText"/>
              <w:rPr>
                <w:lang w:val="en-NZ"/>
              </w:rPr>
            </w:pPr>
            <w:r w:rsidRPr="009B27FF">
              <w:t xml:space="preserve">Comments </w:t>
            </w:r>
          </w:p>
        </w:tc>
      </w:tr>
      <w:tr w:rsidTr="001646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FF">
            <w:pPr>
              <w:pStyle w:val="BodyText"/>
              <w:rPr>
                <w:lang w:val="en-NZ"/>
              </w:rPr>
            </w:pPr>
            <w:r w:rsidRPr="009B27FF">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FF" w:rsidP="009B27FF">
            <w:pPr>
              <w:pStyle w:val="BodyText"/>
            </w:pPr>
            <w:r w:rsidRPr="009B27FF">
              <w:t xml:space="preserve">This version was released in </w:t>
            </w:r>
            <w:r w:rsidRPr="009B27FF">
              <w:rPr>
                <w:rStyle w:val="Emphasis"/>
              </w:rPr>
              <w:t>HLT Health Training Package release 3.0</w:t>
            </w:r>
            <w:r w:rsidRPr="009B27FF">
              <w:t xml:space="preserve"> and meets the requirements of the 2012 Standards for Training Packages.</w:t>
            </w:r>
          </w:p>
          <w:p w:rsidR="00000000" w:rsidRPr="009B27FF" w:rsidP="009B27FF">
            <w:pPr>
              <w:pStyle w:val="BodyText"/>
            </w:pPr>
            <w:r w:rsidRPr="009B27FF">
              <w:t xml:space="preserve">Merged HLTAMBAS501B/ HLTAMBCR502C </w:t>
            </w:r>
          </w:p>
          <w:p w:rsidR="00000000" w:rsidRPr="009B27FF" w:rsidP="009B27FF">
            <w:pPr>
              <w:pStyle w:val="BodyText"/>
            </w:pPr>
            <w:r w:rsidRPr="009B27FF">
              <w:t xml:space="preserve">Significant changes to the elements and performance criteria. New evidence requirements for assessment including volume and frequency requirements. </w:t>
            </w:r>
            <w:r w:rsidRPr="009B27FF">
              <w:t xml:space="preserve">Removal of pre-requisites. minimum hours added </w:t>
            </w:r>
          </w:p>
        </w:tc>
      </w:tr>
    </w:tbl>
    <w:p w:rsidR="00000000" w:rsidRPr="009B27FF" w:rsidP="009B27FF">
      <w:pPr>
        <w:pStyle w:val="BodyText"/>
      </w:pPr>
    </w:p>
    <w:p w:rsidR="00000000" w:rsidRPr="009B27FF" w:rsidP="009B27FF">
      <w:pPr>
        <w:pStyle w:val="AllowPageBreak"/>
      </w:pPr>
    </w:p>
    <w:p w:rsidR="00000000" w:rsidRPr="009B27FF" w:rsidP="009B27FF">
      <w:pPr>
        <w:pStyle w:val="Heading1"/>
      </w:pPr>
      <w:bookmarkStart w:id="2" w:name="O_818845"/>
      <w:bookmarkEnd w:id="2"/>
      <w:r w:rsidRPr="009B27FF">
        <w:t>Performance Evidence</w:t>
      </w:r>
    </w:p>
    <w:p w:rsidR="00000000" w:rsidRPr="009B27FF" w:rsidP="001646AE">
      <w:pPr>
        <w:pStyle w:val="BodyText"/>
      </w:pPr>
      <w:r w:rsidRPr="009B27FF">
        <w:t>The candidate must show evidence of the ability to complete tasks outlined in elements and performance criteria of this unit, manage tasks and manage contingencies in t</w:t>
      </w:r>
      <w:r w:rsidRPr="009B27FF">
        <w:t>he context of the job role. There must be evidence that the candidate has:</w:t>
      </w:r>
    </w:p>
    <w:p w:rsidR="00000000" w:rsidRPr="009B27FF" w:rsidP="009B27FF">
      <w:pPr>
        <w:pStyle w:val="List"/>
      </w:pPr>
      <w:r w:rsidRPr="009B27FF">
        <w:t>•</w:t>
      </w:r>
      <w:r w:rsidRPr="009B27FF">
        <w:tab/>
        <w:t>performed the activities outlined in the performance criteria of this unit during a period of at least 160 hours under clinical supervision in the workplace</w:t>
      </w:r>
    </w:p>
    <w:p w:rsidR="00000000" w:rsidRPr="009B27FF" w:rsidP="009B27FF">
      <w:pPr>
        <w:pStyle w:val="List"/>
      </w:pPr>
      <w:r w:rsidRPr="009B27FF">
        <w:t>•</w:t>
      </w:r>
      <w:r w:rsidRPr="009B27FF">
        <w:tab/>
        <w:t>performed a clinical</w:t>
      </w:r>
      <w:r w:rsidRPr="009B27FF">
        <w:t xml:space="preserve"> assessment and implemented standard care in a pre-hospital/out-of-hospital context on 5 different patients for an illness or trauma impacting health status including:</w:t>
      </w:r>
    </w:p>
    <w:p w:rsidR="00000000" w:rsidRPr="009B27FF" w:rsidP="009B27FF">
      <w:pPr>
        <w:pStyle w:val="List2"/>
      </w:pPr>
      <w:r>
        <w:t>•</w:t>
      </w:r>
      <w:r>
        <w:tab/>
      </w:r>
      <w:r w:rsidRPr="009B27FF">
        <w:t xml:space="preserve">performing primary survey </w:t>
      </w:r>
    </w:p>
    <w:p w:rsidR="00000000" w:rsidRPr="009B27FF" w:rsidP="009B27FF">
      <w:pPr>
        <w:pStyle w:val="List2"/>
      </w:pPr>
      <w:r>
        <w:t>•</w:t>
      </w:r>
      <w:r>
        <w:tab/>
      </w:r>
      <w:r w:rsidRPr="009B27FF">
        <w:t>performing secondary survey – systematic head to toe phys</w:t>
      </w:r>
      <w:r w:rsidRPr="009B27FF">
        <w:t xml:space="preserve">ical body examination including vital signs and level of consciousness </w:t>
      </w:r>
    </w:p>
    <w:p w:rsidR="00000000" w:rsidRPr="009B27FF" w:rsidP="009B27FF">
      <w:pPr>
        <w:pStyle w:val="List2"/>
      </w:pPr>
      <w:r>
        <w:t>•</w:t>
      </w:r>
      <w:r>
        <w:tab/>
      </w:r>
      <w:r w:rsidRPr="009B27FF">
        <w:t>considering psychosocial, developmental and cultural considerations</w:t>
      </w:r>
    </w:p>
    <w:p w:rsidR="00000000" w:rsidRPr="009B27FF" w:rsidP="009B27FF">
      <w:pPr>
        <w:pStyle w:val="List2"/>
      </w:pPr>
      <w:r>
        <w:t>•</w:t>
      </w:r>
      <w:r>
        <w:tab/>
      </w:r>
      <w:r w:rsidRPr="009B27FF">
        <w:t xml:space="preserve">considering mechanism of injury, pattern of injury and potential for injury </w:t>
      </w:r>
    </w:p>
    <w:p w:rsidR="00000000" w:rsidRPr="009B27FF" w:rsidP="009B27FF">
      <w:pPr>
        <w:pStyle w:val="List2"/>
      </w:pPr>
      <w:r>
        <w:t>•</w:t>
      </w:r>
      <w:r>
        <w:tab/>
      </w:r>
      <w:r w:rsidRPr="009B27FF">
        <w:t>planning and implementing standard clinical care based on assessment and time-criticality</w:t>
      </w:r>
    </w:p>
    <w:p w:rsidR="00000000" w:rsidRPr="009B27FF" w:rsidP="009B27FF">
      <w:pPr>
        <w:pStyle w:val="List2"/>
      </w:pPr>
      <w:r>
        <w:t>•</w:t>
      </w:r>
      <w:r>
        <w:tab/>
      </w:r>
      <w:r w:rsidRPr="009B27FF">
        <w:t>monitoring patient and implementing health care procedures and/or therapies</w:t>
      </w:r>
    </w:p>
    <w:p w:rsidR="00000000" w:rsidRPr="009B27FF" w:rsidP="009B27FF">
      <w:pPr>
        <w:pStyle w:val="List2"/>
      </w:pPr>
      <w:r>
        <w:t>•</w:t>
      </w:r>
      <w:r>
        <w:tab/>
      </w:r>
      <w:r w:rsidRPr="009B27FF">
        <w:t xml:space="preserve">safely delivering patient to receiving facility or service </w:t>
      </w:r>
    </w:p>
    <w:p w:rsidR="00000000" w:rsidRPr="009B27FF" w:rsidP="009B27FF">
      <w:pPr>
        <w:pStyle w:val="List"/>
      </w:pPr>
      <w:r w:rsidRPr="009B27FF">
        <w:t>•</w:t>
      </w:r>
      <w:r w:rsidRPr="009B27FF">
        <w:tab/>
        <w:t>implemented the followin</w:t>
      </w:r>
      <w:r w:rsidRPr="009B27FF">
        <w:t>g standard clinical care interventions under a variety of conditions and circumstances within the established clinical guidelines and protocols:</w:t>
      </w:r>
    </w:p>
    <w:p w:rsidR="00000000" w:rsidRPr="009B27FF" w:rsidP="009B27FF">
      <w:pPr>
        <w:pStyle w:val="List2"/>
      </w:pPr>
      <w:r>
        <w:t>•</w:t>
      </w:r>
      <w:r>
        <w:tab/>
      </w:r>
      <w:r w:rsidRPr="009B27FF">
        <w:t xml:space="preserve">providing airway management for a patient </w:t>
      </w:r>
    </w:p>
    <w:p w:rsidR="00000000" w:rsidRPr="009B27FF" w:rsidP="009B27FF">
      <w:pPr>
        <w:pStyle w:val="List2"/>
      </w:pPr>
      <w:r>
        <w:t>•</w:t>
      </w:r>
      <w:r>
        <w:tab/>
      </w:r>
      <w:r w:rsidRPr="009B27FF">
        <w:t>attaching leads, recording and interpreting an electrocardiograp</w:t>
      </w:r>
      <w:r w:rsidRPr="009B27FF">
        <w:t xml:space="preserve">h (ECG) to analyse cardiac dysrhythmia </w:t>
      </w:r>
    </w:p>
    <w:p w:rsidR="00000000" w:rsidRPr="009B27FF" w:rsidP="009B27FF">
      <w:pPr>
        <w:pStyle w:val="List2"/>
      </w:pPr>
      <w:r>
        <w:t>•</w:t>
      </w:r>
      <w:r>
        <w:tab/>
      </w:r>
      <w:r w:rsidRPr="009B27FF">
        <w:t>performing manual direct current counter shock on an adult simulation manikin according to established clinical guidelines and protocols</w:t>
      </w:r>
    </w:p>
    <w:p w:rsidR="00000000" w:rsidRPr="009B27FF" w:rsidP="009B27FF">
      <w:pPr>
        <w:pStyle w:val="List2"/>
      </w:pPr>
      <w:r>
        <w:t>•</w:t>
      </w:r>
      <w:r>
        <w:tab/>
      </w:r>
      <w:r w:rsidRPr="009B27FF">
        <w:t>administering and responding to the effects of pharmacological therapy to t</w:t>
      </w:r>
      <w:r w:rsidRPr="009B27FF">
        <w:t xml:space="preserve">reat and manage patient’s illness or condition </w:t>
      </w:r>
    </w:p>
    <w:p w:rsidR="00000000" w:rsidRPr="009B27FF" w:rsidP="009B27FF">
      <w:pPr>
        <w:pStyle w:val="List"/>
      </w:pPr>
      <w:r w:rsidRPr="009B27FF">
        <w:t>•</w:t>
      </w:r>
      <w:r w:rsidRPr="009B27FF">
        <w:tab/>
        <w:t>performed advanced life support on an adult, child and infant simulation manikin according to established clinical guidelines and protocols.</w:t>
      </w:r>
    </w:p>
    <w:p w:rsidR="00000000" w:rsidRPr="009B27FF" w:rsidP="009B27FF">
      <w:pPr>
        <w:pStyle w:val="AllowPageBreak"/>
      </w:pPr>
    </w:p>
    <w:p w:rsidR="00000000" w:rsidRPr="009B27FF" w:rsidP="009B27FF">
      <w:pPr>
        <w:pStyle w:val="Heading1"/>
      </w:pPr>
      <w:bookmarkStart w:id="3" w:name="O_818846"/>
      <w:bookmarkEnd w:id="3"/>
      <w:r w:rsidRPr="009B27FF">
        <w:t>Knowledge Evidence</w:t>
      </w:r>
    </w:p>
    <w:p w:rsidR="00000000" w:rsidRPr="009B27FF" w:rsidP="001646AE">
      <w:pPr>
        <w:pStyle w:val="BodyText"/>
      </w:pPr>
      <w:r w:rsidRPr="009B27FF">
        <w:t>The candidate must be able to</w:t>
      </w:r>
      <w:r w:rsidRPr="009B27FF">
        <w:t xml:space="preserve"> demonstrate essential knowledge required to effectively complete tasks outlined in elements and performance criteria of this unit, manage tasks and manage contingencies in the context of the work role. This includes knowledge of:</w:t>
      </w:r>
    </w:p>
    <w:p w:rsidR="00000000" w:rsidRPr="009B27FF" w:rsidP="009B27FF">
      <w:pPr>
        <w:pStyle w:val="List"/>
      </w:pPr>
      <w:r w:rsidRPr="009B27FF">
        <w:t>•</w:t>
      </w:r>
      <w:r w:rsidRPr="009B27FF">
        <w:tab/>
        <w:t>assessment and interpre</w:t>
      </w:r>
      <w:r w:rsidRPr="009B27FF">
        <w:t xml:space="preserve">tation of vital signs </w:t>
      </w:r>
    </w:p>
    <w:p w:rsidR="00000000" w:rsidRPr="009B27FF" w:rsidP="009B27FF">
      <w:pPr>
        <w:pStyle w:val="List"/>
      </w:pPr>
      <w:r w:rsidRPr="009B27FF">
        <w:t>•</w:t>
      </w:r>
      <w:r w:rsidRPr="009B27FF">
        <w:tab/>
        <w:t>advanced life support and advanced resuscitation, including procedures and equipment used as specified within established clinical guidelines and protocols</w:t>
      </w:r>
    </w:p>
    <w:p w:rsidR="00000000" w:rsidRPr="009B27FF" w:rsidP="009B27FF">
      <w:pPr>
        <w:pStyle w:val="List"/>
      </w:pPr>
      <w:r w:rsidRPr="009B27FF">
        <w:t>•</w:t>
      </w:r>
      <w:r w:rsidRPr="009B27FF">
        <w:tab/>
        <w:t>critical thinking and diagnostic reasoning techniques and processes:</w:t>
      </w:r>
    </w:p>
    <w:p w:rsidR="00000000" w:rsidRPr="009B27FF" w:rsidP="009B27FF">
      <w:pPr>
        <w:pStyle w:val="List2"/>
      </w:pPr>
      <w:r>
        <w:t>•</w:t>
      </w:r>
      <w:r>
        <w:tab/>
      </w:r>
      <w:r w:rsidRPr="009B27FF">
        <w:t>pr</w:t>
      </w:r>
      <w:r w:rsidRPr="009B27FF">
        <w:t>ocess of critical questioning including purposeful, informed questioning in the clinical setting to make sense of the information presented at the scene of injury or illness</w:t>
      </w:r>
    </w:p>
    <w:p w:rsidR="00000000" w:rsidRPr="009B27FF" w:rsidP="009B27FF">
      <w:pPr>
        <w:pStyle w:val="List2"/>
      </w:pPr>
      <w:r>
        <w:t>•</w:t>
      </w:r>
      <w:r>
        <w:tab/>
      </w:r>
      <w:r w:rsidRPr="009B27FF">
        <w:t xml:space="preserve">process of diagnostic reasoning in the clinical setting, which requires careful </w:t>
      </w:r>
      <w:r w:rsidRPr="009B27FF">
        <w:t>identification of key problems, issues and the risks involved in responding to patient needs</w:t>
      </w:r>
    </w:p>
    <w:p w:rsidR="00000000" w:rsidRPr="009B27FF" w:rsidP="009B27FF">
      <w:pPr>
        <w:pStyle w:val="List2"/>
      </w:pPr>
      <w:r>
        <w:t>•</w:t>
      </w:r>
      <w:r>
        <w:tab/>
      </w:r>
      <w:r w:rsidRPr="009B27FF">
        <w:t>potential impacts of a range of factors in relation to identified body systems and their components</w:t>
      </w:r>
    </w:p>
    <w:p w:rsidR="00000000" w:rsidRPr="009B27FF" w:rsidP="009B27FF">
      <w:pPr>
        <w:pStyle w:val="List3"/>
      </w:pPr>
      <w:r>
        <w:t>•</w:t>
      </w:r>
      <w:r>
        <w:tab/>
      </w:r>
      <w:r w:rsidRPr="009B27FF">
        <w:t xml:space="preserve">internal (such as physical, mental, emotional factors) </w:t>
      </w:r>
    </w:p>
    <w:p w:rsidR="00000000" w:rsidRPr="009B27FF" w:rsidP="009B27FF">
      <w:pPr>
        <w:pStyle w:val="List3"/>
      </w:pPr>
      <w:r>
        <w:t>•</w:t>
      </w:r>
      <w:r>
        <w:tab/>
      </w:r>
      <w:r w:rsidRPr="009B27FF">
        <w:t>e</w:t>
      </w:r>
      <w:r w:rsidRPr="009B27FF">
        <w:t xml:space="preserve">xternal (for example, in relation to specific patient assessment procedures) </w:t>
      </w:r>
    </w:p>
    <w:p w:rsidR="00000000" w:rsidRPr="009B27FF" w:rsidP="009B27FF">
      <w:pPr>
        <w:pStyle w:val="List2"/>
      </w:pPr>
      <w:r>
        <w:t>•</w:t>
      </w:r>
      <w:r>
        <w:tab/>
      </w:r>
      <w:r w:rsidRPr="009B27FF">
        <w:t>concept of rapid stabilisation and transport including:</w:t>
      </w:r>
    </w:p>
    <w:p w:rsidR="00000000" w:rsidRPr="009B27FF" w:rsidP="009B27FF">
      <w:pPr>
        <w:pStyle w:val="List3"/>
      </w:pPr>
      <w:r>
        <w:t>•</w:t>
      </w:r>
      <w:r>
        <w:tab/>
      </w:r>
      <w:r w:rsidRPr="009B27FF">
        <w:t>golden hour</w:t>
      </w:r>
    </w:p>
    <w:p w:rsidR="00000000" w:rsidRPr="009B27FF" w:rsidP="009B27FF">
      <w:pPr>
        <w:pStyle w:val="List3"/>
      </w:pPr>
      <w:r>
        <w:t>•</w:t>
      </w:r>
      <w:r>
        <w:tab/>
      </w:r>
      <w:r w:rsidRPr="009B27FF">
        <w:t>chain of survival</w:t>
      </w:r>
    </w:p>
    <w:p w:rsidR="00000000" w:rsidRPr="009B27FF" w:rsidP="009B27FF">
      <w:pPr>
        <w:pStyle w:val="List3"/>
      </w:pPr>
      <w:r>
        <w:t>•</w:t>
      </w:r>
      <w:r>
        <w:tab/>
      </w:r>
      <w:r w:rsidRPr="009B27FF">
        <w:t>time critical</w:t>
      </w:r>
    </w:p>
    <w:p w:rsidR="00000000" w:rsidRPr="009B27FF" w:rsidP="009B27FF">
      <w:pPr>
        <w:pStyle w:val="List3"/>
      </w:pPr>
      <w:r>
        <w:t>•</w:t>
      </w:r>
      <w:r>
        <w:tab/>
      </w:r>
      <w:r w:rsidRPr="009B27FF">
        <w:t>priority status</w:t>
      </w:r>
    </w:p>
    <w:p w:rsidR="00000000" w:rsidRPr="009B27FF" w:rsidP="009B27FF">
      <w:pPr>
        <w:pStyle w:val="List3"/>
      </w:pPr>
      <w:r>
        <w:t>•</w:t>
      </w:r>
      <w:r>
        <w:tab/>
      </w:r>
      <w:r w:rsidRPr="009B27FF">
        <w:t>transport consideration –</w:t>
      </w:r>
      <w:r w:rsidRPr="009B27FF">
        <w:t xml:space="preserve"> for example, ground or aeromedical</w:t>
      </w:r>
    </w:p>
    <w:p w:rsidR="00000000" w:rsidRPr="009B27FF" w:rsidP="009B27FF">
      <w:pPr>
        <w:pStyle w:val="List"/>
      </w:pPr>
      <w:r w:rsidRPr="009B27FF">
        <w:t>•</w:t>
      </w:r>
      <w:r w:rsidRPr="009B27FF">
        <w:tab/>
        <w:t>causes and effects of trauma including:</w:t>
      </w:r>
    </w:p>
    <w:p w:rsidR="00000000" w:rsidRPr="009B27FF" w:rsidP="009B27FF">
      <w:pPr>
        <w:pStyle w:val="List2"/>
      </w:pPr>
      <w:r>
        <w:t>•</w:t>
      </w:r>
      <w:r>
        <w:tab/>
      </w:r>
      <w:r w:rsidRPr="009B27FF">
        <w:t>kinematics of trauma</w:t>
      </w:r>
    </w:p>
    <w:p w:rsidR="00000000" w:rsidRPr="009B27FF" w:rsidP="009B27FF">
      <w:pPr>
        <w:pStyle w:val="List2"/>
      </w:pPr>
      <w:r>
        <w:t>•</w:t>
      </w:r>
      <w:r>
        <w:tab/>
      </w:r>
      <w:r w:rsidRPr="009B27FF">
        <w:t>blunt, penetrating, falls, blasts and motor vehicle accidents</w:t>
      </w:r>
    </w:p>
    <w:p w:rsidR="00000000" w:rsidRPr="009B27FF" w:rsidP="009B27FF">
      <w:pPr>
        <w:pStyle w:val="List2"/>
      </w:pPr>
      <w:r>
        <w:t>•</w:t>
      </w:r>
      <w:r>
        <w:tab/>
      </w:r>
      <w:r w:rsidRPr="009B27FF">
        <w:t>crush injuries and compartment syndrome</w:t>
      </w:r>
    </w:p>
    <w:p w:rsidR="00000000" w:rsidRPr="009B27FF" w:rsidP="009B27FF">
      <w:pPr>
        <w:pStyle w:val="List2"/>
      </w:pPr>
      <w:r>
        <w:t>•</w:t>
      </w:r>
      <w:r>
        <w:tab/>
      </w:r>
      <w:r w:rsidRPr="009B27FF">
        <w:t>physical laws of energy exchange (Newton’s laws</w:t>
      </w:r>
      <w:r w:rsidRPr="009B27FF">
        <w:t xml:space="preserve"> of motion)</w:t>
      </w:r>
    </w:p>
    <w:p w:rsidR="00000000" w:rsidRPr="009B27FF" w:rsidP="009B27FF">
      <w:pPr>
        <w:pStyle w:val="List2"/>
      </w:pPr>
      <w:r>
        <w:t>•</w:t>
      </w:r>
      <w:r>
        <w:tab/>
      </w:r>
      <w:r w:rsidRPr="009B27FF">
        <w:t>cavitation</w:t>
      </w:r>
    </w:p>
    <w:p w:rsidR="00000000" w:rsidRPr="009B27FF" w:rsidP="009B27FF">
      <w:pPr>
        <w:pStyle w:val="List2"/>
      </w:pPr>
      <w:r>
        <w:t>•</w:t>
      </w:r>
      <w:r>
        <w:tab/>
      </w:r>
      <w:r w:rsidRPr="009B27FF">
        <w:t>impact and clinical consideration for trauma to pregnant person</w:t>
      </w:r>
    </w:p>
    <w:p w:rsidR="00000000" w:rsidRPr="009B27FF" w:rsidP="009B27FF">
      <w:pPr>
        <w:pStyle w:val="List"/>
      </w:pPr>
      <w:r w:rsidRPr="009B27FF">
        <w:t>•</w:t>
      </w:r>
      <w:r w:rsidRPr="009B27FF">
        <w:tab/>
        <w:t>common environmental emergencies</w:t>
      </w:r>
    </w:p>
    <w:p w:rsidR="00000000" w:rsidRPr="009B27FF" w:rsidP="009B27FF">
      <w:pPr>
        <w:pStyle w:val="List"/>
      </w:pPr>
      <w:r w:rsidRPr="009B27FF">
        <w:t>•</w:t>
      </w:r>
      <w:r w:rsidRPr="009B27FF">
        <w:tab/>
        <w:t>how to accurately obtain and document patient medical history including, pre-existing conditions, allergies, social and emotiona</w:t>
      </w:r>
      <w:r w:rsidRPr="009B27FF">
        <w:t xml:space="preserve">l wellbeing and current medication or treatment plans to provide to receiving health facility workers </w:t>
      </w:r>
    </w:p>
    <w:p w:rsidR="00000000" w:rsidRPr="009B27FF" w:rsidP="009B27FF">
      <w:pPr>
        <w:pStyle w:val="List"/>
      </w:pPr>
      <w:r w:rsidRPr="009B27FF">
        <w:t>•</w:t>
      </w:r>
      <w:r w:rsidRPr="009B27FF">
        <w:tab/>
        <w:t xml:space="preserve">national and State/Territory legal and ethical considerations for emergency health care workers relevant to pre-hospital/out-of-hospital care, and how </w:t>
      </w:r>
      <w:r w:rsidRPr="009B27FF">
        <w:t>these are applied in organisations including:</w:t>
      </w:r>
    </w:p>
    <w:p w:rsidR="00000000" w:rsidRPr="009B27FF" w:rsidP="009B27FF">
      <w:pPr>
        <w:pStyle w:val="List2"/>
      </w:pPr>
      <w:r>
        <w:t>•</w:t>
      </w:r>
      <w:r>
        <w:tab/>
      </w:r>
      <w:r w:rsidRPr="009B27FF">
        <w:t>children in the workplace</w:t>
      </w:r>
    </w:p>
    <w:p w:rsidR="00000000" w:rsidRPr="009B27FF" w:rsidP="009B27FF">
      <w:pPr>
        <w:pStyle w:val="List2"/>
      </w:pPr>
      <w:r>
        <w:t>•</w:t>
      </w:r>
      <w:r>
        <w:tab/>
      </w:r>
      <w:r w:rsidRPr="009B27FF">
        <w:t>continuing professional education</w:t>
      </w:r>
    </w:p>
    <w:p w:rsidR="00000000" w:rsidRPr="009B27FF" w:rsidP="009B27FF">
      <w:pPr>
        <w:pStyle w:val="List2"/>
      </w:pPr>
      <w:r>
        <w:t>•</w:t>
      </w:r>
      <w:r>
        <w:tab/>
      </w:r>
      <w:r w:rsidRPr="009B27FF">
        <w:t>discrimination</w:t>
      </w:r>
    </w:p>
    <w:p w:rsidR="00000000" w:rsidRPr="009B27FF" w:rsidP="009B27FF">
      <w:pPr>
        <w:pStyle w:val="List2"/>
      </w:pPr>
      <w:r>
        <w:t>•</w:t>
      </w:r>
      <w:r>
        <w:tab/>
      </w:r>
      <w:r w:rsidRPr="009B27FF">
        <w:t>duty of care</w:t>
      </w:r>
    </w:p>
    <w:p w:rsidR="00000000" w:rsidRPr="009B27FF" w:rsidP="009B27FF">
      <w:pPr>
        <w:pStyle w:val="List2"/>
      </w:pPr>
      <w:r>
        <w:t>•</w:t>
      </w:r>
      <w:r>
        <w:tab/>
      </w:r>
      <w:r w:rsidRPr="009B27FF">
        <w:t>human rights</w:t>
      </w:r>
    </w:p>
    <w:p w:rsidR="00000000" w:rsidRPr="009B27FF" w:rsidP="009B27FF">
      <w:pPr>
        <w:pStyle w:val="List2"/>
      </w:pPr>
      <w:r>
        <w:t>•</w:t>
      </w:r>
      <w:r>
        <w:tab/>
      </w:r>
      <w:r w:rsidRPr="009B27FF">
        <w:t>informed consent</w:t>
      </w:r>
    </w:p>
    <w:p w:rsidR="00000000" w:rsidRPr="009B27FF" w:rsidP="009B27FF">
      <w:pPr>
        <w:pStyle w:val="List2"/>
      </w:pPr>
      <w:r>
        <w:t>•</w:t>
      </w:r>
      <w:r>
        <w:tab/>
      </w:r>
      <w:r w:rsidRPr="009B27FF">
        <w:t>mandatory reporting</w:t>
      </w:r>
    </w:p>
    <w:p w:rsidR="00000000" w:rsidRPr="009B27FF" w:rsidP="009B27FF">
      <w:pPr>
        <w:pStyle w:val="List2"/>
      </w:pPr>
      <w:r>
        <w:t>•</w:t>
      </w:r>
      <w:r>
        <w:tab/>
      </w:r>
      <w:r w:rsidRPr="009B27FF">
        <w:t>practice standards</w:t>
      </w:r>
    </w:p>
    <w:p w:rsidR="00000000" w:rsidRPr="009B27FF" w:rsidP="009B27FF">
      <w:pPr>
        <w:pStyle w:val="List2"/>
      </w:pPr>
      <w:r>
        <w:t>•</w:t>
      </w:r>
      <w:r>
        <w:tab/>
      </w:r>
      <w:r w:rsidRPr="009B27FF">
        <w:t>practitioner/client boundaries</w:t>
      </w:r>
    </w:p>
    <w:p w:rsidR="00000000" w:rsidRPr="009B27FF" w:rsidP="009B27FF">
      <w:pPr>
        <w:pStyle w:val="List2"/>
      </w:pPr>
      <w:r>
        <w:t>•</w:t>
      </w:r>
      <w:r>
        <w:tab/>
      </w:r>
      <w:r w:rsidRPr="009B27FF">
        <w:t>pr</w:t>
      </w:r>
      <w:r w:rsidRPr="009B27FF">
        <w:t>ivacy, confidentiality and disclosure</w:t>
      </w:r>
    </w:p>
    <w:p w:rsidR="00000000" w:rsidRPr="009B27FF" w:rsidP="009B27FF">
      <w:pPr>
        <w:pStyle w:val="List2"/>
      </w:pPr>
      <w:r>
        <w:t>•</w:t>
      </w:r>
      <w:r>
        <w:tab/>
      </w:r>
      <w:r w:rsidRPr="009B27FF">
        <w:t>specific Commonwealth and State/Territory legislation or regulation for health care workers including covering, for example:</w:t>
      </w:r>
    </w:p>
    <w:p w:rsidR="00000000" w:rsidRPr="009B27FF" w:rsidP="009B27FF">
      <w:pPr>
        <w:pStyle w:val="List3"/>
      </w:pPr>
      <w:r>
        <w:t>•</w:t>
      </w:r>
      <w:r>
        <w:tab/>
      </w:r>
      <w:r w:rsidRPr="009B27FF">
        <w:t xml:space="preserve">children and young people </w:t>
      </w:r>
    </w:p>
    <w:p w:rsidR="00000000" w:rsidRPr="009B27FF" w:rsidP="009B27FF">
      <w:pPr>
        <w:pStyle w:val="List3"/>
      </w:pPr>
      <w:r>
        <w:t>•</w:t>
      </w:r>
      <w:r>
        <w:tab/>
      </w:r>
      <w:r w:rsidRPr="009B27FF">
        <w:t xml:space="preserve">anti-discrimination </w:t>
      </w:r>
    </w:p>
    <w:p w:rsidR="00000000" w:rsidRPr="009B27FF" w:rsidP="009B27FF">
      <w:pPr>
        <w:pStyle w:val="List3"/>
      </w:pPr>
      <w:r>
        <w:t>•</w:t>
      </w:r>
      <w:r>
        <w:tab/>
      </w:r>
      <w:r w:rsidRPr="009B27FF">
        <w:t>disability</w:t>
      </w:r>
    </w:p>
    <w:p w:rsidR="00000000" w:rsidRPr="009B27FF" w:rsidP="009B27FF">
      <w:pPr>
        <w:pStyle w:val="List3"/>
      </w:pPr>
      <w:r>
        <w:t>•</w:t>
      </w:r>
      <w:r>
        <w:tab/>
      </w:r>
      <w:r w:rsidRPr="009B27FF">
        <w:t>health, drugs and poisons</w:t>
      </w:r>
    </w:p>
    <w:p w:rsidR="00000000" w:rsidRPr="009B27FF" w:rsidP="009B27FF">
      <w:pPr>
        <w:pStyle w:val="List3"/>
      </w:pPr>
      <w:r>
        <w:t>•</w:t>
      </w:r>
      <w:r>
        <w:tab/>
      </w:r>
      <w:r w:rsidRPr="009B27FF">
        <w:t xml:space="preserve">mental health </w:t>
      </w:r>
    </w:p>
    <w:p w:rsidR="00000000" w:rsidRPr="009B27FF" w:rsidP="009B27FF">
      <w:pPr>
        <w:pStyle w:val="List3"/>
      </w:pPr>
      <w:r>
        <w:t>•</w:t>
      </w:r>
      <w:r>
        <w:tab/>
      </w:r>
      <w:r w:rsidRPr="009B27FF">
        <w:t xml:space="preserve">health records and information privacy </w:t>
      </w:r>
    </w:p>
    <w:p w:rsidR="00000000" w:rsidRPr="009B27FF" w:rsidP="009B27FF">
      <w:pPr>
        <w:pStyle w:val="List3"/>
      </w:pPr>
      <w:r>
        <w:t>•</w:t>
      </w:r>
      <w:r>
        <w:tab/>
      </w:r>
      <w:r w:rsidRPr="009B27FF">
        <w:t>industrial relations</w:t>
      </w:r>
    </w:p>
    <w:p w:rsidR="00000000" w:rsidRPr="009B27FF" w:rsidP="009B27FF">
      <w:pPr>
        <w:pStyle w:val="List2"/>
      </w:pPr>
      <w:r>
        <w:t>•</w:t>
      </w:r>
      <w:r>
        <w:tab/>
      </w:r>
      <w:r w:rsidRPr="009B27FF">
        <w:t>National Safety and Quality Health Service (NSQHS) Standards</w:t>
      </w:r>
    </w:p>
    <w:p w:rsidR="00000000" w:rsidRPr="009B27FF" w:rsidP="009B27FF">
      <w:pPr>
        <w:pStyle w:val="List2"/>
      </w:pPr>
      <w:r>
        <w:t>•</w:t>
      </w:r>
      <w:r>
        <w:tab/>
      </w:r>
      <w:r w:rsidRPr="009B27FF">
        <w:t>work role boundaries – responsibilities and limitations</w:t>
      </w:r>
    </w:p>
    <w:p w:rsidR="00000000" w:rsidRPr="009B27FF" w:rsidP="009B27FF">
      <w:pPr>
        <w:pStyle w:val="List2"/>
      </w:pPr>
      <w:r>
        <w:t>•</w:t>
      </w:r>
      <w:r>
        <w:tab/>
      </w:r>
      <w:r w:rsidRPr="009B27FF">
        <w:t>work health and safety</w:t>
      </w:r>
    </w:p>
    <w:p w:rsidR="00000000" w:rsidRPr="009B27FF" w:rsidP="009B27FF">
      <w:pPr>
        <w:pStyle w:val="List"/>
      </w:pPr>
      <w:r w:rsidRPr="009B27FF">
        <w:t>•</w:t>
      </w:r>
      <w:r w:rsidRPr="009B27FF">
        <w:tab/>
      </w:r>
      <w:r w:rsidRPr="009B27FF">
        <w:t xml:space="preserve">organisation policies, procedures and established clinical guidelines and protocols for patient care and emergency equipment </w:t>
      </w:r>
    </w:p>
    <w:p w:rsidR="00000000" w:rsidRPr="009B27FF" w:rsidP="009B27FF">
      <w:pPr>
        <w:pStyle w:val="List"/>
      </w:pPr>
      <w:r w:rsidRPr="009B27FF">
        <w:t>•</w:t>
      </w:r>
      <w:r w:rsidRPr="009B27FF">
        <w:tab/>
        <w:t>pharmacology therapy and concepts underpinning pharmacology:</w:t>
      </w:r>
    </w:p>
    <w:p w:rsidR="00000000" w:rsidRPr="009B27FF" w:rsidP="009B27FF">
      <w:pPr>
        <w:pStyle w:val="List2"/>
      </w:pPr>
      <w:r>
        <w:t>•</w:t>
      </w:r>
      <w:r>
        <w:tab/>
      </w:r>
      <w:r w:rsidRPr="009B27FF">
        <w:t>pharmacological agents for the management of common disorders</w:t>
      </w:r>
    </w:p>
    <w:p w:rsidR="00000000" w:rsidRPr="009B27FF" w:rsidP="009B27FF">
      <w:pPr>
        <w:pStyle w:val="List2"/>
      </w:pPr>
      <w:r>
        <w:t>•</w:t>
      </w:r>
      <w:r>
        <w:tab/>
      </w:r>
      <w:r w:rsidRPr="009B27FF">
        <w:t>p</w:t>
      </w:r>
      <w:r w:rsidRPr="009B27FF">
        <w:t>harmacokinetics including routes of administration – enteral, parenteral, inhalation, topical</w:t>
      </w:r>
    </w:p>
    <w:p w:rsidR="00000000" w:rsidRPr="009B27FF" w:rsidP="009B27FF">
      <w:pPr>
        <w:pStyle w:val="List2"/>
      </w:pPr>
      <w:r>
        <w:t>•</w:t>
      </w:r>
      <w:r>
        <w:tab/>
      </w:r>
      <w:r w:rsidRPr="009B27FF">
        <w:t>preparation, properties, uses and actions of pharmacology</w:t>
      </w:r>
    </w:p>
    <w:p w:rsidR="00000000" w:rsidRPr="009B27FF" w:rsidP="009B27FF">
      <w:pPr>
        <w:pStyle w:val="List2"/>
      </w:pPr>
      <w:r>
        <w:t>•</w:t>
      </w:r>
      <w:r>
        <w:tab/>
      </w:r>
      <w:r w:rsidRPr="009B27FF">
        <w:t>pharmacology terminology</w:t>
      </w:r>
    </w:p>
    <w:p w:rsidR="00000000" w:rsidRPr="009B27FF" w:rsidP="009B27FF">
      <w:pPr>
        <w:pStyle w:val="List2"/>
      </w:pPr>
      <w:r>
        <w:t>•</w:t>
      </w:r>
      <w:r>
        <w:tab/>
      </w:r>
      <w:r w:rsidRPr="009B27FF">
        <w:t>absorption, distribution, metabolism and excretion of pharmacological pro</w:t>
      </w:r>
      <w:r w:rsidRPr="009B27FF">
        <w:t>ducts by the body</w:t>
      </w:r>
    </w:p>
    <w:p w:rsidR="00000000" w:rsidRPr="009B27FF" w:rsidP="009B27FF">
      <w:pPr>
        <w:pStyle w:val="List2"/>
      </w:pPr>
      <w:r>
        <w:t>•</w:t>
      </w:r>
      <w:r>
        <w:tab/>
      </w:r>
      <w:r w:rsidRPr="009B27FF">
        <w:t>pharmacodynamics- pharmacological interactions</w:t>
      </w:r>
    </w:p>
    <w:p w:rsidR="00000000" w:rsidRPr="009B27FF" w:rsidP="009B27FF">
      <w:pPr>
        <w:pStyle w:val="List2"/>
      </w:pPr>
      <w:r>
        <w:t>•</w:t>
      </w:r>
      <w:r>
        <w:tab/>
      </w:r>
      <w:r w:rsidRPr="009B27FF">
        <w:t xml:space="preserve">safe storage, handling and disposal of pharmacological products </w:t>
      </w:r>
    </w:p>
    <w:p w:rsidR="00000000" w:rsidRPr="009B27FF" w:rsidP="009B27FF">
      <w:pPr>
        <w:pStyle w:val="List2"/>
      </w:pPr>
      <w:r>
        <w:t>•</w:t>
      </w:r>
      <w:r>
        <w:tab/>
      </w:r>
      <w:r w:rsidRPr="009B27FF">
        <w:t>jurisdictional protocols and guidelines associated with administration, duration, magnitude and pharmacological response</w:t>
      </w:r>
    </w:p>
    <w:p w:rsidR="00000000" w:rsidRPr="009B27FF" w:rsidP="009B27FF">
      <w:pPr>
        <w:pStyle w:val="List"/>
      </w:pPr>
      <w:r w:rsidRPr="009B27FF">
        <w:t>•</w:t>
      </w:r>
      <w:r w:rsidRPr="009B27FF">
        <w:tab/>
        <w:t xml:space="preserve">primary survey and secondary survey </w:t>
      </w:r>
    </w:p>
    <w:p w:rsidR="00000000" w:rsidRPr="009B27FF" w:rsidP="009B27FF">
      <w:pPr>
        <w:pStyle w:val="List"/>
      </w:pPr>
      <w:r w:rsidRPr="009B27FF">
        <w:t>•</w:t>
      </w:r>
      <w:r w:rsidRPr="009B27FF">
        <w:tab/>
        <w:t>variations from normal functioning of body systems involving anatomy, physiology and pathophysiology, including:</w:t>
      </w:r>
    </w:p>
    <w:p w:rsidR="00000000" w:rsidRPr="009B27FF" w:rsidP="009B27FF">
      <w:pPr>
        <w:pStyle w:val="List2"/>
      </w:pPr>
      <w:r>
        <w:t>•</w:t>
      </w:r>
      <w:r>
        <w:tab/>
      </w:r>
      <w:r w:rsidRPr="009B27FF">
        <w:t>pathophysiology of integumentary system including:</w:t>
      </w:r>
    </w:p>
    <w:p w:rsidR="00000000" w:rsidRPr="009B27FF" w:rsidP="009B27FF">
      <w:pPr>
        <w:pStyle w:val="List3"/>
      </w:pPr>
      <w:r>
        <w:t>•</w:t>
      </w:r>
      <w:r>
        <w:tab/>
      </w:r>
      <w:r w:rsidRPr="009B27FF">
        <w:t xml:space="preserve">compromised integumentary system burns trauma </w:t>
      </w:r>
      <w:r w:rsidRPr="009B27FF">
        <w:t xml:space="preserve">or injury caused by the interaction of energy (thermal, chemical, electrical, or radiation) </w:t>
      </w:r>
    </w:p>
    <w:p w:rsidR="00000000" w:rsidRPr="009B27FF" w:rsidP="009B27FF">
      <w:pPr>
        <w:pStyle w:val="List3"/>
      </w:pPr>
      <w:r>
        <w:t>•</w:t>
      </w:r>
      <w:r>
        <w:tab/>
      </w:r>
      <w:r w:rsidRPr="009B27FF">
        <w:t>pathophysiology of burns injuries, local and systemic responses and burn shock</w:t>
      </w:r>
    </w:p>
    <w:p w:rsidR="00000000" w:rsidRPr="009B27FF" w:rsidP="009B27FF">
      <w:pPr>
        <w:pStyle w:val="List3"/>
      </w:pPr>
      <w:r>
        <w:t>•</w:t>
      </w:r>
      <w:r>
        <w:tab/>
      </w:r>
      <w:r w:rsidRPr="009B27FF">
        <w:t xml:space="preserve">classifications of burns injury and extent and severity of burns injury </w:t>
      </w:r>
    </w:p>
    <w:p w:rsidR="00000000" w:rsidRPr="009B27FF" w:rsidP="009B27FF">
      <w:pPr>
        <w:pStyle w:val="List2"/>
      </w:pPr>
      <w:r>
        <w:t>•</w:t>
      </w:r>
      <w:r>
        <w:tab/>
      </w:r>
      <w:r w:rsidRPr="009B27FF">
        <w:t>pathophysiology of musculo-skeletal injury including:</w:t>
      </w:r>
    </w:p>
    <w:p w:rsidR="00000000" w:rsidRPr="009B27FF" w:rsidP="009B27FF">
      <w:pPr>
        <w:pStyle w:val="List3"/>
      </w:pPr>
      <w:r>
        <w:t>•</w:t>
      </w:r>
      <w:r>
        <w:tab/>
      </w:r>
      <w:r w:rsidRPr="009B27FF">
        <w:t xml:space="preserve">soft tissue injury </w:t>
      </w:r>
    </w:p>
    <w:p w:rsidR="00000000" w:rsidRPr="009B27FF" w:rsidP="009B27FF">
      <w:pPr>
        <w:pStyle w:val="List3"/>
      </w:pPr>
      <w:r>
        <w:t>•</w:t>
      </w:r>
      <w:r>
        <w:tab/>
      </w:r>
      <w:r w:rsidRPr="009B27FF">
        <w:t xml:space="preserve">causes and types of fractures, dislocations, strains and sprains </w:t>
      </w:r>
    </w:p>
    <w:p w:rsidR="00000000" w:rsidRPr="009B27FF" w:rsidP="009B27FF">
      <w:pPr>
        <w:pStyle w:val="List2"/>
      </w:pPr>
      <w:r>
        <w:t>•</w:t>
      </w:r>
      <w:r>
        <w:tab/>
      </w:r>
      <w:r w:rsidRPr="009B27FF">
        <w:t>pathophysiology of the cardiovascular system including:</w:t>
      </w:r>
    </w:p>
    <w:p w:rsidR="00000000" w:rsidRPr="009B27FF" w:rsidP="009B27FF">
      <w:pPr>
        <w:pStyle w:val="List3"/>
      </w:pPr>
      <w:r>
        <w:t>•</w:t>
      </w:r>
      <w:r>
        <w:tab/>
      </w:r>
      <w:r w:rsidRPr="009B27FF">
        <w:t>cardiovascular insult</w:t>
      </w:r>
    </w:p>
    <w:p w:rsidR="00000000" w:rsidRPr="009B27FF" w:rsidP="009B27FF">
      <w:pPr>
        <w:pStyle w:val="List3"/>
      </w:pPr>
      <w:r>
        <w:t>•</w:t>
      </w:r>
      <w:r>
        <w:tab/>
      </w:r>
      <w:r w:rsidRPr="009B27FF">
        <w:t>how to interpret and analyse</w:t>
      </w:r>
      <w:r w:rsidRPr="009B27FF">
        <w:t xml:space="preserve"> dysrhythmias and apply electric shock to obtain normal rhythm – for example asystole, ventricular fibrillations, ventricular tachycardia or heart block</w:t>
      </w:r>
    </w:p>
    <w:p w:rsidR="00000000" w:rsidRPr="009B27FF" w:rsidP="009B27FF">
      <w:pPr>
        <w:pStyle w:val="List3"/>
      </w:pPr>
      <w:r>
        <w:t>•</w:t>
      </w:r>
      <w:r>
        <w:tab/>
      </w:r>
      <w:r w:rsidRPr="009B27FF">
        <w:t>classifications and complications of shock including hypovolaemia, cardiogenic and distributive</w:t>
      </w:r>
    </w:p>
    <w:p w:rsidR="00000000" w:rsidRPr="009B27FF" w:rsidP="009B27FF">
      <w:pPr>
        <w:pStyle w:val="List2"/>
      </w:pPr>
      <w:r>
        <w:t>•</w:t>
      </w:r>
      <w:r>
        <w:tab/>
      </w:r>
      <w:r w:rsidRPr="009B27FF">
        <w:t>pat</w:t>
      </w:r>
      <w:r w:rsidRPr="009B27FF">
        <w:t>hophysiology of the neurovascular system including:</w:t>
      </w:r>
    </w:p>
    <w:p w:rsidR="00000000" w:rsidRPr="009B27FF" w:rsidP="009B27FF">
      <w:pPr>
        <w:pStyle w:val="List3"/>
      </w:pPr>
      <w:r>
        <w:t>•</w:t>
      </w:r>
      <w:r>
        <w:tab/>
      </w:r>
      <w:r w:rsidRPr="009B27FF">
        <w:t>brain injury including – concussion, contusion, Diffuse Axonal Injury (DAI), haematomas</w:t>
      </w:r>
    </w:p>
    <w:p w:rsidR="00000000" w:rsidRPr="009B27FF" w:rsidP="009B27FF">
      <w:pPr>
        <w:pStyle w:val="List3"/>
      </w:pPr>
      <w:r>
        <w:t>•</w:t>
      </w:r>
      <w:r>
        <w:tab/>
      </w:r>
      <w:r w:rsidRPr="009B27FF">
        <w:t>traumatic brain injury including – primary and secondary injury, cerebral perfusion, raised intracranial pressur</w:t>
      </w:r>
      <w:r w:rsidRPr="009B27FF">
        <w:t>e, herniation, cerebral agitation or irritation</w:t>
      </w:r>
    </w:p>
    <w:p w:rsidR="00000000" w:rsidRPr="009B27FF" w:rsidP="009B27FF">
      <w:pPr>
        <w:pStyle w:val="List3"/>
      </w:pPr>
      <w:r>
        <w:t>•</w:t>
      </w:r>
      <w:r>
        <w:tab/>
      </w:r>
      <w:r w:rsidRPr="009B27FF">
        <w:t>cerebral thrombosis, transient ischaemic attack (TIA), cerebral embolism and cerebral haemorrhage</w:t>
      </w:r>
    </w:p>
    <w:p w:rsidR="00000000" w:rsidRPr="009B27FF" w:rsidP="009B27FF">
      <w:pPr>
        <w:pStyle w:val="List3"/>
      </w:pPr>
      <w:r>
        <w:t>•</w:t>
      </w:r>
      <w:r>
        <w:tab/>
      </w:r>
      <w:r w:rsidRPr="009B27FF">
        <w:t>dementia</w:t>
      </w:r>
    </w:p>
    <w:p w:rsidR="00000000" w:rsidRPr="009B27FF" w:rsidP="009B27FF">
      <w:pPr>
        <w:pStyle w:val="List3"/>
      </w:pPr>
      <w:r>
        <w:t>•</w:t>
      </w:r>
      <w:r>
        <w:tab/>
      </w:r>
      <w:r w:rsidRPr="009B27FF">
        <w:t>seizures and febrile convulsions</w:t>
      </w:r>
    </w:p>
    <w:p w:rsidR="00000000" w:rsidRPr="009B27FF" w:rsidP="009B27FF">
      <w:pPr>
        <w:pStyle w:val="List3"/>
      </w:pPr>
      <w:r>
        <w:t>•</w:t>
      </w:r>
      <w:r>
        <w:tab/>
      </w:r>
      <w:r w:rsidRPr="009B27FF">
        <w:t>autonomic dysreflexia</w:t>
      </w:r>
    </w:p>
    <w:p w:rsidR="00000000" w:rsidRPr="009B27FF" w:rsidP="009B27FF">
      <w:pPr>
        <w:pStyle w:val="List2"/>
      </w:pPr>
      <w:r>
        <w:t>•</w:t>
      </w:r>
      <w:r>
        <w:tab/>
      </w:r>
      <w:r w:rsidRPr="009B27FF">
        <w:t xml:space="preserve">poisoning, envenomation or overdose </w:t>
      </w:r>
      <w:r w:rsidRPr="009B27FF">
        <w:t>emergencies including:</w:t>
      </w:r>
    </w:p>
    <w:p w:rsidR="00000000" w:rsidRPr="009B27FF" w:rsidP="009B27FF">
      <w:pPr>
        <w:pStyle w:val="List3"/>
      </w:pPr>
      <w:r w:rsidRPr="009B27FF">
        <w:t xml:space="preserve">o neurotoxins, myotoxins, haemotoxins, illicit drugs </w:t>
      </w:r>
    </w:p>
    <w:p w:rsidR="00000000" w:rsidRPr="009B27FF" w:rsidP="009B27FF">
      <w:pPr>
        <w:pStyle w:val="List3"/>
      </w:pPr>
      <w:r w:rsidRPr="009B27FF">
        <w:t>o chemical, biological and radiological</w:t>
      </w:r>
    </w:p>
    <w:p w:rsidR="00000000" w:rsidRPr="009B27FF" w:rsidP="009B27FF">
      <w:pPr>
        <w:pStyle w:val="List2"/>
      </w:pPr>
      <w:r>
        <w:t>•</w:t>
      </w:r>
      <w:r>
        <w:tab/>
      </w:r>
      <w:r w:rsidRPr="009B27FF">
        <w:t>pathophysiology of the respiratory system including:</w:t>
      </w:r>
    </w:p>
    <w:p w:rsidR="00000000" w:rsidRPr="009B27FF" w:rsidP="009B27FF">
      <w:pPr>
        <w:pStyle w:val="List3"/>
      </w:pPr>
      <w:r>
        <w:t>•</w:t>
      </w:r>
      <w:r>
        <w:tab/>
      </w:r>
      <w:r w:rsidRPr="009B27FF">
        <w:t xml:space="preserve">differences in paediatric and adult airways </w:t>
      </w:r>
    </w:p>
    <w:p w:rsidR="00000000" w:rsidRPr="009B27FF" w:rsidP="009B27FF">
      <w:pPr>
        <w:pStyle w:val="List3"/>
      </w:pPr>
      <w:r>
        <w:t>•</w:t>
      </w:r>
      <w:r>
        <w:tab/>
      </w:r>
      <w:r w:rsidRPr="009B27FF">
        <w:t>thoracic disorders or trauma</w:t>
      </w:r>
    </w:p>
    <w:p w:rsidR="00000000" w:rsidRPr="009B27FF" w:rsidP="009B27FF">
      <w:pPr>
        <w:pStyle w:val="List3"/>
      </w:pPr>
      <w:r>
        <w:t>•</w:t>
      </w:r>
      <w:r>
        <w:tab/>
      </w:r>
      <w:r w:rsidRPr="009B27FF">
        <w:t>resp</w:t>
      </w:r>
      <w:r w:rsidRPr="009B27FF">
        <w:t>iratory disorders including asthma, acute respiratory distress syndrome, croup, epiglottis, pneumonia, emphysema, chronic obstructive airway disease</w:t>
      </w:r>
    </w:p>
    <w:p w:rsidR="00000000" w:rsidRPr="009B27FF" w:rsidP="009B27FF">
      <w:pPr>
        <w:pStyle w:val="List3"/>
      </w:pPr>
      <w:r>
        <w:t>•</w:t>
      </w:r>
      <w:r>
        <w:tab/>
      </w:r>
      <w:r w:rsidRPr="009B27FF">
        <w:t>gas laws and gas exchange (Boyle, Dalton, Charles, Henry)</w:t>
      </w:r>
    </w:p>
    <w:p w:rsidR="00000000" w:rsidRPr="009B27FF" w:rsidP="009B27FF">
      <w:pPr>
        <w:pStyle w:val="List3"/>
      </w:pPr>
      <w:r>
        <w:t>•</w:t>
      </w:r>
      <w:r>
        <w:tab/>
      </w:r>
      <w:r w:rsidRPr="009B27FF">
        <w:t>external and internal ventilation and respira</w:t>
      </w:r>
      <w:r w:rsidRPr="009B27FF">
        <w:t>tion</w:t>
      </w:r>
    </w:p>
    <w:p w:rsidR="00000000" w:rsidRPr="009B27FF" w:rsidP="009B27FF">
      <w:pPr>
        <w:pStyle w:val="List3"/>
      </w:pPr>
      <w:r>
        <w:t>•</w:t>
      </w:r>
      <w:r>
        <w:tab/>
      </w:r>
      <w:r w:rsidRPr="009B27FF">
        <w:t>principles of lung volumes – minute volume and oxygenation</w:t>
      </w:r>
    </w:p>
    <w:p w:rsidR="00000000" w:rsidRPr="009B27FF" w:rsidP="009B27FF">
      <w:pPr>
        <w:pStyle w:val="List2"/>
      </w:pPr>
      <w:r>
        <w:t>•</w:t>
      </w:r>
      <w:r>
        <w:tab/>
      </w:r>
      <w:r w:rsidRPr="009B27FF">
        <w:t>pathophysiology of the digestive and endocrine system including:</w:t>
      </w:r>
    </w:p>
    <w:p w:rsidR="00000000" w:rsidRPr="009B27FF" w:rsidP="009B27FF">
      <w:pPr>
        <w:pStyle w:val="List3"/>
      </w:pPr>
      <w:r>
        <w:t>•</w:t>
      </w:r>
      <w:r>
        <w:tab/>
      </w:r>
      <w:r w:rsidRPr="009B27FF">
        <w:t>abdominal disorders including diabetes mellitus, thyroid and adrenal gland conditions</w:t>
      </w:r>
    </w:p>
    <w:p w:rsidR="00000000" w:rsidRPr="009B27FF" w:rsidP="009B27FF">
      <w:pPr>
        <w:pStyle w:val="List3"/>
      </w:pPr>
      <w:r>
        <w:t>•</w:t>
      </w:r>
      <w:r>
        <w:tab/>
      </w:r>
      <w:r w:rsidRPr="009B27FF">
        <w:t>nutritional disorders, appendicitis, gastroenteritis and hepatitis</w:t>
      </w:r>
    </w:p>
    <w:p w:rsidR="00000000" w:rsidRPr="009B27FF" w:rsidP="009B27FF">
      <w:pPr>
        <w:pStyle w:val="List3"/>
      </w:pPr>
      <w:r>
        <w:t>•</w:t>
      </w:r>
      <w:r>
        <w:tab/>
      </w:r>
      <w:r w:rsidRPr="009B27FF">
        <w:t xml:space="preserve">abdominal trauma including visceral, referred and somatic pain, gastro-intestinal bleeding </w:t>
      </w:r>
    </w:p>
    <w:p w:rsidR="00000000" w:rsidRPr="009B27FF" w:rsidP="009B27FF">
      <w:pPr>
        <w:pStyle w:val="List2"/>
      </w:pPr>
      <w:r>
        <w:t>•</w:t>
      </w:r>
      <w:r>
        <w:tab/>
      </w:r>
      <w:r w:rsidRPr="009B27FF">
        <w:t>processes of metabolism including:</w:t>
      </w:r>
    </w:p>
    <w:p w:rsidR="00000000" w:rsidRPr="009B27FF" w:rsidP="009B27FF">
      <w:pPr>
        <w:pStyle w:val="List3"/>
      </w:pPr>
      <w:r>
        <w:t>•</w:t>
      </w:r>
      <w:r>
        <w:tab/>
      </w:r>
      <w:r w:rsidRPr="009B27FF">
        <w:t>cellular respiration</w:t>
      </w:r>
    </w:p>
    <w:p w:rsidR="00000000" w:rsidRPr="009B27FF" w:rsidP="009B27FF">
      <w:pPr>
        <w:pStyle w:val="List3"/>
      </w:pPr>
      <w:r>
        <w:t>•</w:t>
      </w:r>
      <w:r>
        <w:tab/>
      </w:r>
      <w:r w:rsidRPr="009B27FF">
        <w:t>anaerobic and aerobic energy prod</w:t>
      </w:r>
      <w:r w:rsidRPr="009B27FF">
        <w:t>uction</w:t>
      </w:r>
    </w:p>
    <w:p w:rsidR="00000000" w:rsidRPr="009B27FF" w:rsidP="009B27FF">
      <w:pPr>
        <w:pStyle w:val="List2"/>
      </w:pPr>
      <w:r>
        <w:t>•</w:t>
      </w:r>
      <w:r>
        <w:tab/>
      </w:r>
      <w:r w:rsidRPr="009B27FF">
        <w:t>pathophysiology of the urinary and reproductive system including:</w:t>
      </w:r>
    </w:p>
    <w:p w:rsidR="00000000" w:rsidRPr="009B27FF" w:rsidP="009B27FF">
      <w:pPr>
        <w:pStyle w:val="List3"/>
      </w:pPr>
      <w:r>
        <w:t>•</w:t>
      </w:r>
      <w:r>
        <w:tab/>
      </w:r>
      <w:r w:rsidRPr="009B27FF">
        <w:t>acute and chronic renal failure and obstetric and gynaecological disorders (for example, ectopic pregnancy, spontaneous abortion, vaginal haemorrhage, pelvic inflammatory disease,</w:t>
      </w:r>
      <w:r w:rsidRPr="009B27FF">
        <w:t xml:space="preserve"> endometriosis)</w:t>
      </w:r>
    </w:p>
    <w:p w:rsidR="00000000" w:rsidRPr="009B27FF" w:rsidP="009B27FF">
      <w:pPr>
        <w:pStyle w:val="List3"/>
      </w:pPr>
      <w:r>
        <w:t>•</w:t>
      </w:r>
      <w:r>
        <w:tab/>
      </w:r>
      <w:r w:rsidRPr="009B27FF">
        <w:t xml:space="preserve">stages of labour – pre-delivery emergencies and post-delivery emergencies </w:t>
      </w:r>
    </w:p>
    <w:p w:rsidR="00000000" w:rsidRPr="009B27FF" w:rsidP="009B27FF">
      <w:pPr>
        <w:pStyle w:val="List3"/>
      </w:pPr>
      <w:r>
        <w:t>•</w:t>
      </w:r>
      <w:r>
        <w:tab/>
      </w:r>
      <w:r w:rsidRPr="009B27FF">
        <w:t>assessing neonate body temperature and Apgar scores</w:t>
      </w:r>
    </w:p>
    <w:p w:rsidR="00000000" w:rsidRPr="009B27FF" w:rsidP="009B27FF">
      <w:pPr>
        <w:pStyle w:val="List"/>
      </w:pPr>
      <w:r>
        <w:t>•</w:t>
      </w:r>
      <w:r>
        <w:tab/>
      </w:r>
      <w:r w:rsidRPr="009B27FF">
        <w:t>situations where the patient requires treatment that is outside the scope or authority to practice of the a</w:t>
      </w:r>
      <w:r w:rsidRPr="009B27FF">
        <w:t>ttending worker.</w:t>
      </w:r>
    </w:p>
    <w:p w:rsidR="00000000" w:rsidRPr="009B27FF" w:rsidP="009B27FF">
      <w:pPr>
        <w:pStyle w:val="List"/>
      </w:pPr>
      <w:r w:rsidRPr="009B27FF">
        <w:tab/>
      </w:r>
    </w:p>
    <w:p w:rsidR="00000000" w:rsidRPr="009B27FF" w:rsidP="009B27FF">
      <w:pPr>
        <w:pStyle w:val="AllowPageBreak"/>
      </w:pPr>
    </w:p>
    <w:p w:rsidR="00000000" w:rsidRPr="009B27FF" w:rsidP="009B27FF">
      <w:pPr>
        <w:pStyle w:val="Heading1"/>
      </w:pPr>
      <w:bookmarkStart w:id="4" w:name="O_818847"/>
      <w:bookmarkEnd w:id="4"/>
      <w:r w:rsidRPr="009B27FF">
        <w:t>Assessment Conditions</w:t>
      </w:r>
    </w:p>
    <w:p w:rsidR="00000000" w:rsidRPr="009B27FF" w:rsidP="001646AE">
      <w:pPr>
        <w:pStyle w:val="BodyText"/>
      </w:pPr>
      <w:r w:rsidRPr="009B27FF">
        <w:t>Skills and knowledge must be demonstrated in the workplace with the addition of simulations and scenarios where the full range of contexts and situations cannot be provided in the workplace or may o</w:t>
      </w:r>
      <w:r w:rsidRPr="009B27FF">
        <w:t>ccur only rarely.</w:t>
      </w:r>
    </w:p>
    <w:p w:rsidR="00000000" w:rsidRPr="009B27FF" w:rsidP="001646AE">
      <w:pPr>
        <w:pStyle w:val="BodyText"/>
      </w:pPr>
      <w:r w:rsidRPr="009B27FF">
        <w:t>The requirement in the performance evidence to implement standard clinical care interventions under a variety of conditions and circumstances within the established clinical guidelines and protocols, must have been demonstrated using simu</w:t>
      </w:r>
      <w:r w:rsidRPr="009B27FF">
        <w:t xml:space="preserve">lation before being demonstrated in the workplace and with members of the public. </w:t>
      </w:r>
    </w:p>
    <w:p w:rsidR="00000000" w:rsidRPr="009B27FF" w:rsidP="001646AE">
      <w:pPr>
        <w:pStyle w:val="BodyText"/>
      </w:pPr>
      <w:r w:rsidRPr="009B27FF">
        <w:t>The following conditions must be met for this unit:</w:t>
      </w:r>
    </w:p>
    <w:p w:rsidR="00000000" w:rsidRPr="009B27FF" w:rsidP="009B27FF">
      <w:pPr>
        <w:pStyle w:val="List"/>
      </w:pPr>
      <w:r w:rsidRPr="009B27FF">
        <w:t>•</w:t>
      </w:r>
      <w:r w:rsidRPr="009B27FF">
        <w:tab/>
        <w:t>use of suitable facilities, resources and equipment as per local governing body including:</w:t>
      </w:r>
    </w:p>
    <w:p w:rsidR="00000000" w:rsidRPr="009B27FF" w:rsidP="009B27FF">
      <w:pPr>
        <w:pStyle w:val="List2"/>
      </w:pPr>
      <w:r>
        <w:t>•</w:t>
      </w:r>
      <w:r>
        <w:tab/>
      </w:r>
      <w:r w:rsidRPr="009B27FF">
        <w:t xml:space="preserve">simulation adult, child, </w:t>
      </w:r>
      <w:r w:rsidRPr="009B27FF">
        <w:t>infant manikins suitable for simulation of clinical skills</w:t>
      </w:r>
    </w:p>
    <w:p w:rsidR="00000000" w:rsidRPr="009B27FF" w:rsidP="009B27FF">
      <w:pPr>
        <w:pStyle w:val="List2"/>
      </w:pPr>
      <w:r>
        <w:t>•</w:t>
      </w:r>
      <w:r>
        <w:tab/>
      </w:r>
      <w:r w:rsidRPr="009B27FF">
        <w:t xml:space="preserve">vital signs monitoring devices </w:t>
      </w:r>
    </w:p>
    <w:p w:rsidR="00000000" w:rsidRPr="009B27FF" w:rsidP="009B27FF">
      <w:pPr>
        <w:pStyle w:val="List2"/>
      </w:pPr>
      <w:r>
        <w:t>•</w:t>
      </w:r>
      <w:r>
        <w:tab/>
      </w:r>
      <w:r w:rsidRPr="009B27FF">
        <w:t>ECG recording device</w:t>
      </w:r>
    </w:p>
    <w:p w:rsidR="00000000" w:rsidRPr="009B27FF" w:rsidP="009B27FF">
      <w:pPr>
        <w:pStyle w:val="List2"/>
      </w:pPr>
      <w:r>
        <w:t>•</w:t>
      </w:r>
      <w:r>
        <w:tab/>
      </w:r>
      <w:r w:rsidRPr="009B27FF">
        <w:t>placebo samples of pharmacological preparations for use in simulation scenarios.</w:t>
      </w:r>
    </w:p>
    <w:p w:rsidR="00000000" w:rsidRPr="009B27FF" w:rsidP="009B27FF">
      <w:pPr>
        <w:pStyle w:val="BodyText"/>
      </w:pPr>
    </w:p>
    <w:p w:rsidR="001646AE" w:rsidP="001646AE">
      <w:pPr>
        <w:pStyle w:val="BodyText"/>
      </w:pPr>
      <w:r w:rsidRPr="009B27FF">
        <w:t>Assessors must satisfy the Standards for Registered Trai</w:t>
      </w:r>
      <w:r w:rsidRPr="009B27FF">
        <w:t>ning Organisations (RTOs) 2015/AQTF mandatory competency requirements for assessors.</w:t>
      </w:r>
    </w:p>
    <w:p w:rsidR="00000000" w:rsidRPr="009B27FF" w:rsidP="009B27FF">
      <w:pPr>
        <w:pStyle w:val="Heading1"/>
      </w:pPr>
      <w:bookmarkStart w:id="5" w:name="O_818850"/>
      <w:bookmarkEnd w:id="5"/>
      <w:r w:rsidRPr="009B27FF">
        <w:t>Links</w:t>
      </w:r>
    </w:p>
    <w:p w:rsidR="00000000" w:rsidRPr="009B27FF" w:rsidP="001646AE">
      <w:pPr>
        <w:pStyle w:val="BodyText"/>
      </w:pPr>
      <w:r w:rsidRPr="009B27F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259B8">
        <w:rPr>
          <w:rStyle w:val="Hyperlink"/>
        </w:rPr>
        <w:t>https://vetnet.gov.au/Pages/TrainingDocs.aspx?q=ced1390f-48d9-4ab0-bd50-b015e5485705</w:t>
      </w:r>
      <w:r>
        <w:fldChar w:fldCharType="end"/>
      </w:r>
    </w:p>
    <w:p w:rsidR="00000000" w:rsidRPr="009B27FF" w:rsidP="009B27FF"/>
    <w:sectPr w:rsidSect="009B27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FF" w:rsidRPr="001646AE" w:rsidP="001646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6AE" w:rsidP="009B27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46AE" w:rsidP="009B27F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1646AE" w:rsidP="009B27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6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7FF" w:rsidRPr="001646AE" w:rsidP="001646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6AE" w:rsidRPr="002D2AF8" w:rsidP="009B27FF">
    <w:pPr>
      <w:pStyle w:val="Header"/>
      <w:framePr w:wrap="around"/>
    </w:pPr>
    <w:r>
      <w:fldChar w:fldCharType="begin"/>
    </w:r>
    <w:r>
      <w:instrText xml:space="preserve"> TITLE   \* MERGEFORMAT </w:instrText>
    </w:r>
    <w:r>
      <w:fldChar w:fldCharType="separate"/>
    </w:r>
    <w:r>
      <w:t>Assessment Requirements for HLTAMB008 Assess and deliver standard clinical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October 2020</w:t>
    </w:r>
    <w:r>
      <w:fldChar w:fldCharType="end"/>
    </w:r>
  </w:p>
  <w:p w:rsidR="001646AE" w:rsidP="009B27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7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7FF"/>
    <w:pPr>
      <w:spacing w:before="360" w:after="60"/>
      <w:outlineLvl w:val="0"/>
    </w:pPr>
    <w:rPr>
      <w:sz w:val="32"/>
    </w:rPr>
  </w:style>
  <w:style w:type="paragraph" w:styleId="Heading2">
    <w:name w:val="heading 2"/>
    <w:basedOn w:val="HeadingBase"/>
    <w:next w:val="BodyText"/>
    <w:link w:val="Heading2Char"/>
    <w:qFormat/>
    <w:rsid w:val="009B27FF"/>
    <w:pPr>
      <w:keepLines/>
      <w:spacing w:before="240" w:after="120"/>
      <w:outlineLvl w:val="1"/>
    </w:pPr>
    <w:rPr>
      <w:sz w:val="28"/>
      <w:szCs w:val="40"/>
    </w:rPr>
  </w:style>
  <w:style w:type="paragraph" w:styleId="Heading3">
    <w:name w:val="heading 3"/>
    <w:basedOn w:val="HeadingBase"/>
    <w:next w:val="BodyText"/>
    <w:link w:val="Heading3Char"/>
    <w:qFormat/>
    <w:rsid w:val="009B27FF"/>
    <w:pPr>
      <w:spacing w:before="180" w:after="120"/>
      <w:outlineLvl w:val="2"/>
    </w:pPr>
    <w:rPr>
      <w:spacing w:val="-10"/>
      <w:kern w:val="32"/>
    </w:rPr>
  </w:style>
  <w:style w:type="paragraph" w:styleId="Heading4">
    <w:name w:val="heading 4"/>
    <w:basedOn w:val="HeadingBase"/>
    <w:next w:val="BodyText"/>
    <w:link w:val="Heading4Char"/>
    <w:qFormat/>
    <w:rsid w:val="009B27FF"/>
    <w:pPr>
      <w:spacing w:before="160" w:after="120"/>
      <w:outlineLvl w:val="3"/>
    </w:pPr>
    <w:rPr>
      <w:sz w:val="22"/>
    </w:rPr>
  </w:style>
  <w:style w:type="paragraph" w:styleId="Heading5">
    <w:name w:val="heading 5"/>
    <w:basedOn w:val="HeadingBase"/>
    <w:next w:val="Normal"/>
    <w:link w:val="Heading5Char"/>
    <w:qFormat/>
    <w:rsid w:val="009B27FF"/>
    <w:pPr>
      <w:spacing w:before="80"/>
      <w:outlineLvl w:val="4"/>
    </w:pPr>
    <w:rPr>
      <w:color w:val="918585"/>
      <w:sz w:val="20"/>
    </w:rPr>
  </w:style>
  <w:style w:type="paragraph" w:styleId="Heading6">
    <w:name w:val="heading 6"/>
    <w:basedOn w:val="HeadingBase"/>
    <w:next w:val="Normal"/>
    <w:link w:val="Heading6Char"/>
    <w:qFormat/>
    <w:rsid w:val="009B27FF"/>
    <w:pPr>
      <w:spacing w:before="60"/>
      <w:outlineLvl w:val="5"/>
    </w:pPr>
    <w:rPr>
      <w:color w:val="918585"/>
      <w:sz w:val="20"/>
    </w:rPr>
  </w:style>
  <w:style w:type="paragraph" w:styleId="Heading7">
    <w:name w:val="heading 7"/>
    <w:basedOn w:val="Normal"/>
    <w:next w:val="Normal"/>
    <w:link w:val="Heading7Char"/>
    <w:qFormat/>
    <w:rsid w:val="009B27FF"/>
    <w:pPr>
      <w:ind w:left="720"/>
      <w:outlineLvl w:val="6"/>
    </w:pPr>
    <w:rPr>
      <w:i/>
    </w:rPr>
  </w:style>
  <w:style w:type="paragraph" w:styleId="Heading8">
    <w:name w:val="heading 8"/>
    <w:basedOn w:val="Normal"/>
    <w:next w:val="Normal"/>
    <w:link w:val="Heading8Char"/>
    <w:qFormat/>
    <w:rsid w:val="009B27FF"/>
    <w:pPr>
      <w:ind w:left="720"/>
      <w:outlineLvl w:val="7"/>
    </w:pPr>
    <w:rPr>
      <w:i/>
    </w:rPr>
  </w:style>
  <w:style w:type="paragraph" w:styleId="Heading9">
    <w:name w:val="heading 9"/>
    <w:basedOn w:val="Normal"/>
    <w:next w:val="Normal"/>
    <w:link w:val="Heading9Char"/>
    <w:qFormat/>
    <w:rsid w:val="009B27FF"/>
    <w:pPr>
      <w:ind w:left="720"/>
      <w:outlineLvl w:val="8"/>
    </w:pPr>
    <w:rPr>
      <w:i/>
    </w:rPr>
  </w:style>
  <w:style w:type="character" w:default="1" w:styleId="DefaultParagraphFont">
    <w:name w:val="Default Paragraph Font"/>
    <w:uiPriority w:val="1"/>
    <w:unhideWhenUsed/>
    <w:rsid w:val="009B27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7FF"/>
  </w:style>
  <w:style w:type="character" w:customStyle="1" w:styleId="Heading1Char">
    <w:name w:val="Heading 1 Char"/>
    <w:basedOn w:val="DefaultParagraphFont"/>
    <w:link w:val="Heading1"/>
    <w:rsid w:val="009B27FF"/>
    <w:rPr>
      <w:rFonts w:ascii="Times New Roman" w:eastAsia="Times New Roman" w:hAnsi="Times New Roman" w:cs="Times New Roman"/>
      <w:b/>
      <w:sz w:val="32"/>
      <w:szCs w:val="20"/>
      <w:lang w:eastAsia="en-US"/>
    </w:rPr>
  </w:style>
  <w:style w:type="paragraph" w:styleId="BodyText">
    <w:name w:val="Body Text"/>
    <w:basedOn w:val="Normal"/>
    <w:link w:val="BodyTextChar"/>
    <w:rsid w:val="009B27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7FF"/>
    <w:rPr>
      <w:rFonts w:ascii="Times New Roman" w:eastAsia="Times New Roman" w:hAnsi="Times New Roman" w:cs="Times New Roman"/>
      <w:sz w:val="24"/>
      <w:lang w:eastAsia="en-US"/>
    </w:rPr>
  </w:style>
  <w:style w:type="paragraph" w:styleId="List">
    <w:name w:val="List"/>
    <w:basedOn w:val="BodyText"/>
    <w:next w:val="BodyText"/>
    <w:rsid w:val="009B27FF"/>
    <w:pPr>
      <w:tabs>
        <w:tab w:val="left" w:pos="340"/>
      </w:tabs>
      <w:spacing w:before="60" w:after="60"/>
      <w:ind w:left="340" w:hanging="340"/>
    </w:pPr>
  </w:style>
  <w:style w:type="character" w:styleId="Emphasis">
    <w:name w:val="Emphasis"/>
    <w:basedOn w:val="DefaultParagraphFont"/>
    <w:qFormat/>
    <w:rsid w:val="009B27FF"/>
    <w:rPr>
      <w:i/>
    </w:rPr>
  </w:style>
  <w:style w:type="paragraph" w:customStyle="1" w:styleId="SuperHeading">
    <w:name w:val="SuperHeading"/>
    <w:basedOn w:val="Normal"/>
    <w:rsid w:val="009B27FF"/>
    <w:pPr>
      <w:spacing w:before="240" w:after="120"/>
      <w:outlineLvl w:val="0"/>
    </w:pPr>
    <w:rPr>
      <w:rFonts w:ascii="Times New Roman" w:hAnsi="Times New Roman"/>
      <w:b/>
      <w:sz w:val="32"/>
    </w:rPr>
  </w:style>
  <w:style w:type="paragraph" w:customStyle="1" w:styleId="AllowPageBreak">
    <w:name w:val="AllowPageBreak"/>
    <w:rsid w:val="009B27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27FF"/>
    <w:pPr>
      <w:tabs>
        <w:tab w:val="left" w:pos="680"/>
      </w:tabs>
      <w:spacing w:before="60" w:after="60"/>
      <w:ind w:left="680" w:hanging="340"/>
    </w:pPr>
  </w:style>
  <w:style w:type="paragraph" w:styleId="List3">
    <w:name w:val="List 3"/>
    <w:basedOn w:val="BodyText"/>
    <w:rsid w:val="009B27FF"/>
    <w:pPr>
      <w:tabs>
        <w:tab w:val="left" w:pos="1021"/>
      </w:tabs>
      <w:spacing w:before="60" w:after="60"/>
      <w:ind w:left="1020" w:hanging="340"/>
    </w:pPr>
  </w:style>
  <w:style w:type="character" w:customStyle="1" w:styleId="Heading2Char">
    <w:name w:val="Heading 2 Char"/>
    <w:basedOn w:val="DefaultParagraphFont"/>
    <w:link w:val="Heading2"/>
    <w:rsid w:val="009B27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7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7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7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7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7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7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7FF"/>
    <w:rPr>
      <w:rFonts w:ascii="Courier New" w:eastAsia="Times New Roman" w:hAnsi="Courier New" w:cs="Times New Roman"/>
      <w:i/>
      <w:szCs w:val="20"/>
      <w:lang w:eastAsia="en-US"/>
    </w:rPr>
  </w:style>
  <w:style w:type="paragraph" w:customStyle="1" w:styleId="HeadingBase">
    <w:name w:val="Heading Base"/>
    <w:rsid w:val="009B27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7FF"/>
    <w:pPr>
      <w:tabs>
        <w:tab w:val="right" w:leader="dot" w:pos="9072"/>
      </w:tabs>
      <w:ind w:left="567"/>
    </w:pPr>
    <w:rPr>
      <w:szCs w:val="22"/>
    </w:rPr>
  </w:style>
  <w:style w:type="paragraph" w:customStyle="1" w:styleId="TOCBase">
    <w:name w:val="TOC Base"/>
    <w:rsid w:val="009B27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7FF"/>
    <w:pPr>
      <w:tabs>
        <w:tab w:val="right" w:leader="dot" w:pos="9072"/>
      </w:tabs>
      <w:spacing w:before="40" w:after="40"/>
      <w:ind w:left="284"/>
    </w:pPr>
    <w:rPr>
      <w:rFonts w:ascii="Times New Roman" w:hAnsi="Times New Roman"/>
    </w:rPr>
  </w:style>
  <w:style w:type="paragraph" w:styleId="TOC1">
    <w:name w:val="toc 1"/>
    <w:basedOn w:val="TOCBase"/>
    <w:next w:val="Normal"/>
    <w:rsid w:val="009B27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7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7FF"/>
    <w:rPr>
      <w:rFonts w:ascii="Times New Roman" w:eastAsia="Times New Roman" w:hAnsi="Times New Roman" w:cs="Times New Roman"/>
      <w:sz w:val="16"/>
      <w:lang w:eastAsia="en-US"/>
    </w:rPr>
  </w:style>
  <w:style w:type="paragraph" w:styleId="Title">
    <w:name w:val="Title"/>
    <w:basedOn w:val="HeadingBase"/>
    <w:link w:val="TitleChar"/>
    <w:qFormat/>
    <w:rsid w:val="009B27FF"/>
    <w:pPr>
      <w:spacing w:before="5040"/>
      <w:jc w:val="center"/>
    </w:pPr>
    <w:rPr>
      <w:sz w:val="48"/>
      <w:szCs w:val="72"/>
      <w:lang w:val="en-US"/>
    </w:rPr>
  </w:style>
  <w:style w:type="character" w:customStyle="1" w:styleId="TitleChar">
    <w:name w:val="Title Char"/>
    <w:basedOn w:val="DefaultParagraphFont"/>
    <w:link w:val="Title"/>
    <w:rsid w:val="009B27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7FF"/>
    <w:pPr>
      <w:tabs>
        <w:tab w:val="left" w:pos="3600"/>
        <w:tab w:val="left" w:pos="3958"/>
      </w:tabs>
    </w:pPr>
  </w:style>
  <w:style w:type="paragraph" w:styleId="ListBullet">
    <w:name w:val="List Bullet"/>
    <w:basedOn w:val="List"/>
    <w:rsid w:val="009B27FF"/>
    <w:pPr>
      <w:numPr>
        <w:numId w:val="10"/>
      </w:numPr>
      <w:tabs>
        <w:tab w:val="clear" w:pos="340"/>
      </w:tabs>
      <w:spacing w:before="40" w:after="40"/>
    </w:pPr>
  </w:style>
  <w:style w:type="paragraph" w:customStyle="1" w:styleId="Note">
    <w:name w:val="Note"/>
    <w:basedOn w:val="BodyText"/>
    <w:rsid w:val="009B27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27FF"/>
    <w:rPr>
      <w:b/>
      <w:spacing w:val="0"/>
    </w:rPr>
  </w:style>
  <w:style w:type="paragraph" w:customStyle="1" w:styleId="SuperTitle">
    <w:name w:val="SuperTitle"/>
    <w:basedOn w:val="Title"/>
    <w:rsid w:val="009B27FF"/>
    <w:pPr>
      <w:framePr w:wrap="auto" w:hAnchor="text" w:y="6049"/>
    </w:pPr>
    <w:rPr>
      <w:color w:val="000000"/>
      <w:sz w:val="40"/>
    </w:rPr>
  </w:style>
  <w:style w:type="paragraph" w:customStyle="1" w:styleId="TOCTitle">
    <w:name w:val="TOCTitle"/>
    <w:basedOn w:val="Heading1"/>
    <w:rsid w:val="009B27FF"/>
    <w:pPr>
      <w:spacing w:after="240"/>
      <w:jc w:val="center"/>
      <w:outlineLvl w:val="9"/>
    </w:pPr>
    <w:rPr>
      <w:caps/>
    </w:rPr>
  </w:style>
  <w:style w:type="paragraph" w:customStyle="1" w:styleId="Version">
    <w:name w:val="Version"/>
    <w:rsid w:val="009B27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27FF"/>
    <w:pPr>
      <w:numPr>
        <w:numId w:val="11"/>
      </w:numPr>
      <w:tabs>
        <w:tab w:val="clear" w:pos="680"/>
      </w:tabs>
    </w:pPr>
  </w:style>
  <w:style w:type="paragraph" w:styleId="Index1">
    <w:name w:val="index 1"/>
    <w:basedOn w:val="Normal"/>
    <w:next w:val="Normal"/>
    <w:semiHidden/>
    <w:rsid w:val="009B27FF"/>
    <w:pPr>
      <w:keepNext w:val="0"/>
      <w:tabs>
        <w:tab w:val="right" w:pos="4176"/>
      </w:tabs>
      <w:ind w:left="198" w:hanging="198"/>
    </w:pPr>
    <w:rPr>
      <w:rFonts w:ascii="Garamond" w:hAnsi="Garamond"/>
    </w:rPr>
  </w:style>
  <w:style w:type="paragraph" w:styleId="IndexHeading">
    <w:name w:val="index heading"/>
    <w:basedOn w:val="Normal"/>
    <w:next w:val="Index1"/>
    <w:semiHidden/>
    <w:rsid w:val="009B27FF"/>
    <w:pPr>
      <w:spacing w:before="120" w:after="120"/>
    </w:pPr>
    <w:rPr>
      <w:rFonts w:ascii="Arial" w:hAnsi="Arial"/>
      <w:b/>
      <w:color w:val="918585"/>
      <w:sz w:val="24"/>
    </w:rPr>
  </w:style>
  <w:style w:type="paragraph" w:styleId="Header">
    <w:name w:val="header"/>
    <w:basedOn w:val="Normal"/>
    <w:link w:val="HeaderChar"/>
    <w:rsid w:val="009B27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7FF"/>
    <w:rPr>
      <w:rFonts w:ascii="Times New Roman" w:eastAsia="Times New Roman" w:hAnsi="Times New Roman" w:cs="Times New Roman"/>
      <w:sz w:val="16"/>
      <w:szCs w:val="20"/>
      <w:lang w:val="en-GB" w:eastAsia="en-US"/>
    </w:rPr>
  </w:style>
  <w:style w:type="paragraph" w:customStyle="1" w:styleId="Chapter">
    <w:name w:val="Chapter"/>
    <w:basedOn w:val="Normal"/>
    <w:rsid w:val="009B27FF"/>
    <w:pPr>
      <w:spacing w:before="240"/>
    </w:pPr>
    <w:rPr>
      <w:rFonts w:ascii="Times New Roman" w:hAnsi="Times New Roman"/>
      <w:smallCaps/>
      <w:spacing w:val="80"/>
      <w:sz w:val="28"/>
    </w:rPr>
  </w:style>
  <w:style w:type="paragraph" w:customStyle="1" w:styleId="InChapter">
    <w:name w:val="InChapter"/>
    <w:basedOn w:val="Heading3"/>
    <w:rsid w:val="009B27FF"/>
    <w:pPr>
      <w:spacing w:after="240"/>
      <w:outlineLvl w:val="9"/>
    </w:pPr>
    <w:rPr>
      <w:noProof/>
    </w:rPr>
  </w:style>
  <w:style w:type="paragraph" w:styleId="Index2">
    <w:name w:val="index 2"/>
    <w:basedOn w:val="Normal"/>
    <w:next w:val="Normal"/>
    <w:semiHidden/>
    <w:rsid w:val="009B27FF"/>
    <w:pPr>
      <w:tabs>
        <w:tab w:val="right" w:pos="4176"/>
      </w:tabs>
      <w:ind w:left="568" w:hanging="284"/>
    </w:pPr>
    <w:rPr>
      <w:rFonts w:ascii="Garamond" w:hAnsi="Garamond"/>
    </w:rPr>
  </w:style>
  <w:style w:type="paragraph" w:customStyle="1" w:styleId="Byline">
    <w:name w:val="Byline"/>
    <w:rsid w:val="009B27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7FF"/>
    <w:pPr>
      <w:tabs>
        <w:tab w:val="clear" w:pos="3600"/>
        <w:tab w:val="clear" w:pos="3958"/>
      </w:tabs>
      <w:jc w:val="right"/>
    </w:pPr>
  </w:style>
  <w:style w:type="paragraph" w:styleId="Caption">
    <w:name w:val="caption"/>
    <w:basedOn w:val="BodyText"/>
    <w:next w:val="Normal"/>
    <w:qFormat/>
    <w:rsid w:val="009B27FF"/>
    <w:pPr>
      <w:framePr w:w="2268" w:hSpace="181" w:vSpace="181" w:wrap="around" w:vAnchor="text" w:hAnchor="page" w:x="1135" w:y="285" w:anchorLock="1"/>
    </w:pPr>
    <w:rPr>
      <w:i/>
    </w:rPr>
  </w:style>
  <w:style w:type="paragraph" w:customStyle="1" w:styleId="MiniTOCTitle">
    <w:name w:val="MiniTOCTitle"/>
    <w:basedOn w:val="Heading4"/>
    <w:rsid w:val="009B27FF"/>
    <w:pPr>
      <w:spacing w:before="240"/>
      <w:outlineLvl w:val="9"/>
    </w:pPr>
    <w:rPr>
      <w:noProof/>
      <w:sz w:val="24"/>
    </w:rPr>
  </w:style>
  <w:style w:type="paragraph" w:customStyle="1" w:styleId="MiniTOCItem">
    <w:name w:val="MiniTOCItem"/>
    <w:basedOn w:val="ListBullet"/>
    <w:rsid w:val="009B27FF"/>
    <w:pPr>
      <w:numPr>
        <w:numId w:val="0"/>
      </w:numPr>
      <w:tabs>
        <w:tab w:val="right" w:leader="dot" w:pos="6521"/>
      </w:tabs>
      <w:spacing w:before="0" w:after="0"/>
    </w:pPr>
  </w:style>
  <w:style w:type="paragraph" w:customStyle="1" w:styleId="TOFTitle">
    <w:name w:val="TOFTitle"/>
    <w:basedOn w:val="TOCTitle"/>
    <w:rsid w:val="009B27FF"/>
  </w:style>
  <w:style w:type="paragraph" w:styleId="TableofFigures">
    <w:name w:val="table of figures"/>
    <w:basedOn w:val="Normal"/>
    <w:next w:val="Normal"/>
    <w:semiHidden/>
    <w:rsid w:val="009B27FF"/>
    <w:pPr>
      <w:tabs>
        <w:tab w:val="right" w:leader="dot" w:pos="9072"/>
      </w:tabs>
      <w:ind w:left="970" w:hanging="403"/>
    </w:pPr>
    <w:rPr>
      <w:rFonts w:ascii="Times New Roman" w:hAnsi="Times New Roman"/>
      <w:b/>
    </w:rPr>
  </w:style>
  <w:style w:type="paragraph" w:styleId="ListNumber">
    <w:name w:val="List Number"/>
    <w:basedOn w:val="List"/>
    <w:rsid w:val="009B27FF"/>
    <w:pPr>
      <w:numPr>
        <w:numId w:val="13"/>
      </w:numPr>
      <w:tabs>
        <w:tab w:val="clear" w:pos="340"/>
      </w:tabs>
    </w:pPr>
  </w:style>
  <w:style w:type="character" w:customStyle="1" w:styleId="WingdingSymbols">
    <w:name w:val="Wingding Symbols"/>
    <w:rsid w:val="009B27FF"/>
    <w:rPr>
      <w:rFonts w:ascii="Wingdings" w:hAnsi="Wingdings"/>
    </w:rPr>
  </w:style>
  <w:style w:type="paragraph" w:customStyle="1" w:styleId="TableHeading">
    <w:name w:val="Table Heading"/>
    <w:basedOn w:val="HeadingBase"/>
    <w:rsid w:val="009B27FF"/>
    <w:pPr>
      <w:keepLines/>
      <w:pBdr>
        <w:bottom w:val="single" w:sz="6" w:space="1" w:color="918585"/>
      </w:pBdr>
      <w:spacing w:before="240"/>
    </w:pPr>
  </w:style>
  <w:style w:type="character" w:customStyle="1" w:styleId="HotSpot">
    <w:name w:val="HotSpot"/>
    <w:rsid w:val="009B27FF"/>
    <w:rPr>
      <w:color w:val="0033CC"/>
      <w:u w:val="none"/>
    </w:rPr>
  </w:style>
  <w:style w:type="paragraph" w:customStyle="1" w:styleId="BodyTextRight">
    <w:name w:val="Body Text Right"/>
    <w:basedOn w:val="BodyText"/>
    <w:rsid w:val="009B27FF"/>
    <w:pPr>
      <w:spacing w:before="0" w:after="0"/>
      <w:jc w:val="right"/>
    </w:pPr>
  </w:style>
  <w:style w:type="paragraph" w:styleId="Index3">
    <w:name w:val="index 3"/>
    <w:basedOn w:val="ListNumber2"/>
    <w:next w:val="Normal"/>
    <w:semiHidden/>
    <w:rsid w:val="009B27FF"/>
    <w:pPr>
      <w:numPr>
        <w:numId w:val="0"/>
      </w:numPr>
      <w:tabs>
        <w:tab w:val="right" w:leader="dot" w:pos="4176"/>
      </w:tabs>
    </w:pPr>
  </w:style>
  <w:style w:type="paragraph" w:styleId="ListNumber2">
    <w:name w:val="List Number 2"/>
    <w:basedOn w:val="List2"/>
    <w:rsid w:val="009B27FF"/>
    <w:pPr>
      <w:numPr>
        <w:numId w:val="8"/>
      </w:numPr>
      <w:tabs>
        <w:tab w:val="clear" w:pos="1060"/>
      </w:tabs>
    </w:pPr>
  </w:style>
  <w:style w:type="paragraph" w:customStyle="1" w:styleId="MarginNote">
    <w:name w:val="Margin Note"/>
    <w:basedOn w:val="BodyText"/>
    <w:rsid w:val="009B27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7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7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7FF"/>
    <w:rPr>
      <w:sz w:val="32"/>
    </w:rPr>
  </w:style>
  <w:style w:type="paragraph" w:customStyle="1" w:styleId="HeadingProcedure">
    <w:name w:val="Heading Procedure"/>
    <w:basedOn w:val="HeadingBase"/>
    <w:next w:val="Normal"/>
    <w:rsid w:val="009B27FF"/>
    <w:pPr>
      <w:tabs>
        <w:tab w:val="left" w:pos="0"/>
      </w:tabs>
      <w:spacing w:before="120" w:after="60"/>
    </w:pPr>
    <w:rPr>
      <w:i/>
      <w:color w:val="918585"/>
      <w:sz w:val="22"/>
    </w:rPr>
  </w:style>
  <w:style w:type="paragraph" w:customStyle="1" w:styleId="TableBodyText">
    <w:name w:val="Table Body Text"/>
    <w:basedOn w:val="BodyText"/>
    <w:rsid w:val="009B27FF"/>
    <w:pPr>
      <w:spacing w:before="60" w:after="60"/>
    </w:pPr>
  </w:style>
  <w:style w:type="paragraph" w:styleId="ListContinue">
    <w:name w:val="List Continue"/>
    <w:basedOn w:val="List"/>
    <w:rsid w:val="009B27FF"/>
    <w:pPr>
      <w:ind w:firstLine="0"/>
    </w:pPr>
  </w:style>
  <w:style w:type="paragraph" w:customStyle="1" w:styleId="ListNote">
    <w:name w:val="List Note"/>
    <w:basedOn w:val="List"/>
    <w:rsid w:val="009B27FF"/>
    <w:pPr>
      <w:pBdr>
        <w:top w:val="single" w:sz="6" w:space="2" w:color="918585"/>
        <w:bottom w:val="single" w:sz="6" w:space="2" w:color="918585"/>
      </w:pBdr>
      <w:tabs>
        <w:tab w:val="left" w:pos="1021"/>
      </w:tabs>
      <w:ind w:firstLine="0"/>
    </w:pPr>
  </w:style>
  <w:style w:type="paragraph" w:customStyle="1" w:styleId="Warning">
    <w:name w:val="Warning"/>
    <w:basedOn w:val="BodyText"/>
    <w:rsid w:val="009B27FF"/>
    <w:pPr>
      <w:shd w:val="clear" w:color="auto" w:fill="D9D9D9"/>
      <w:tabs>
        <w:tab w:val="left" w:pos="992"/>
      </w:tabs>
      <w:ind w:left="119" w:right="119"/>
    </w:pPr>
    <w:rPr>
      <w:sz w:val="20"/>
    </w:rPr>
  </w:style>
  <w:style w:type="paragraph" w:customStyle="1" w:styleId="MarginIcons">
    <w:name w:val="Margin Icons"/>
    <w:basedOn w:val="BodyText"/>
    <w:rsid w:val="009B27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7FF"/>
    <w:rPr>
      <w:rFonts w:ascii="Courier New" w:hAnsi="Courier New"/>
    </w:rPr>
  </w:style>
  <w:style w:type="paragraph" w:customStyle="1" w:styleId="NoteBullet">
    <w:name w:val="Note Bullet"/>
    <w:basedOn w:val="Note"/>
    <w:rsid w:val="009B27FF"/>
    <w:pPr>
      <w:tabs>
        <w:tab w:val="clear" w:pos="680"/>
      </w:tabs>
      <w:spacing w:before="60" w:after="60"/>
    </w:pPr>
  </w:style>
  <w:style w:type="paragraph" w:customStyle="1" w:styleId="SubHeading2">
    <w:name w:val="SubHeading2"/>
    <w:basedOn w:val="HeadingBase"/>
    <w:rsid w:val="009B27FF"/>
    <w:pPr>
      <w:spacing w:before="240" w:after="60"/>
    </w:pPr>
    <w:rPr>
      <w:sz w:val="20"/>
    </w:rPr>
  </w:style>
  <w:style w:type="paragraph" w:customStyle="1" w:styleId="SubHeading1">
    <w:name w:val="SubHeading1"/>
    <w:basedOn w:val="HeadingBase"/>
    <w:rsid w:val="009B27FF"/>
    <w:pPr>
      <w:spacing w:before="240" w:after="60"/>
    </w:pPr>
    <w:rPr>
      <w:color w:val="918585"/>
      <w:sz w:val="22"/>
    </w:rPr>
  </w:style>
  <w:style w:type="paragraph" w:customStyle="1" w:styleId="SideHeading">
    <w:name w:val="Side Heading"/>
    <w:basedOn w:val="HeadingBase"/>
    <w:rsid w:val="009B27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7FF"/>
    <w:pPr>
      <w:numPr>
        <w:numId w:val="9"/>
      </w:numPr>
    </w:pPr>
  </w:style>
  <w:style w:type="paragraph" w:styleId="PlainText">
    <w:name w:val="Plain Text"/>
    <w:basedOn w:val="Normal"/>
    <w:link w:val="PlainTextChar"/>
    <w:rsid w:val="009B27FF"/>
    <w:rPr>
      <w:sz w:val="20"/>
    </w:rPr>
  </w:style>
  <w:style w:type="character" w:customStyle="1" w:styleId="PlainTextChar">
    <w:name w:val="Plain Text Char"/>
    <w:basedOn w:val="DefaultParagraphFont"/>
    <w:link w:val="PlainText"/>
    <w:rsid w:val="009B27FF"/>
    <w:rPr>
      <w:rFonts w:ascii="Courier New" w:eastAsia="Times New Roman" w:hAnsi="Courier New" w:cs="Times New Roman"/>
      <w:sz w:val="20"/>
      <w:szCs w:val="20"/>
      <w:lang w:eastAsia="en-US"/>
    </w:rPr>
  </w:style>
  <w:style w:type="character" w:customStyle="1" w:styleId="MenuOption">
    <w:name w:val="Menu Option"/>
    <w:basedOn w:val="DefaultParagraphFont"/>
    <w:rsid w:val="009B27FF"/>
    <w:rPr>
      <w:b/>
      <w:smallCaps/>
    </w:rPr>
  </w:style>
  <w:style w:type="paragraph" w:customStyle="1" w:styleId="TableListNumber">
    <w:name w:val="Table List Number"/>
    <w:basedOn w:val="ListNumber"/>
    <w:rsid w:val="009B27FF"/>
    <w:pPr>
      <w:numPr>
        <w:numId w:val="0"/>
      </w:numPr>
    </w:pPr>
  </w:style>
  <w:style w:type="paragraph" w:styleId="TOC4">
    <w:name w:val="toc 4"/>
    <w:basedOn w:val="TOCBase"/>
    <w:next w:val="Normal"/>
    <w:semiHidden/>
    <w:rsid w:val="009B27FF"/>
    <w:pPr>
      <w:tabs>
        <w:tab w:val="right" w:leader="dot" w:pos="9071"/>
      </w:tabs>
      <w:ind w:left="1701"/>
    </w:pPr>
  </w:style>
  <w:style w:type="paragraph" w:customStyle="1" w:styleId="ListAlpha">
    <w:name w:val="List Alpha"/>
    <w:basedOn w:val="List"/>
    <w:rsid w:val="009B27FF"/>
    <w:pPr>
      <w:numPr>
        <w:numId w:val="7"/>
      </w:numPr>
    </w:pPr>
  </w:style>
  <w:style w:type="paragraph" w:customStyle="1" w:styleId="ListAlpha2">
    <w:name w:val="List Alpha 2"/>
    <w:basedOn w:val="List2"/>
    <w:rsid w:val="009B27FF"/>
    <w:pPr>
      <w:numPr>
        <w:numId w:val="6"/>
      </w:numPr>
    </w:pPr>
  </w:style>
  <w:style w:type="paragraph" w:styleId="List4">
    <w:name w:val="List 4"/>
    <w:basedOn w:val="BodyText"/>
    <w:rsid w:val="009B27FF"/>
    <w:pPr>
      <w:tabs>
        <w:tab w:val="left" w:pos="1361"/>
      </w:tabs>
      <w:spacing w:before="60" w:after="60"/>
      <w:ind w:left="1361" w:hanging="340"/>
    </w:pPr>
  </w:style>
  <w:style w:type="paragraph" w:styleId="List5">
    <w:name w:val="List 5"/>
    <w:basedOn w:val="BodyText"/>
    <w:rsid w:val="009B27FF"/>
    <w:pPr>
      <w:tabs>
        <w:tab w:val="left" w:pos="1701"/>
      </w:tabs>
      <w:spacing w:before="60" w:after="60"/>
      <w:ind w:left="1701" w:hanging="340"/>
    </w:pPr>
  </w:style>
  <w:style w:type="paragraph" w:styleId="ListBullet3">
    <w:name w:val="List Bullet 3"/>
    <w:basedOn w:val="List3"/>
    <w:rsid w:val="009B27FF"/>
    <w:pPr>
      <w:numPr>
        <w:numId w:val="12"/>
      </w:numPr>
      <w:tabs>
        <w:tab w:val="clear" w:pos="1021"/>
      </w:tabs>
      <w:ind w:left="1037" w:hanging="357"/>
    </w:pPr>
  </w:style>
  <w:style w:type="paragraph" w:styleId="ListBullet4">
    <w:name w:val="List Bullet 4"/>
    <w:basedOn w:val="List4"/>
    <w:rsid w:val="009B27FF"/>
    <w:pPr>
      <w:numPr>
        <w:numId w:val="1"/>
      </w:numPr>
      <w:tabs>
        <w:tab w:val="clear" w:pos="1361"/>
      </w:tabs>
    </w:pPr>
  </w:style>
  <w:style w:type="paragraph" w:styleId="ListBullet5">
    <w:name w:val="List Bullet 5"/>
    <w:basedOn w:val="List5"/>
    <w:rsid w:val="009B27FF"/>
    <w:pPr>
      <w:numPr>
        <w:numId w:val="2"/>
      </w:numPr>
    </w:pPr>
  </w:style>
  <w:style w:type="paragraph" w:styleId="ListContinue2">
    <w:name w:val="List Continue 2"/>
    <w:basedOn w:val="List2"/>
    <w:rsid w:val="009B27FF"/>
    <w:pPr>
      <w:ind w:firstLine="0"/>
    </w:pPr>
  </w:style>
  <w:style w:type="paragraph" w:styleId="ListContinue3">
    <w:name w:val="List Continue 3"/>
    <w:basedOn w:val="List3"/>
    <w:rsid w:val="009B27FF"/>
    <w:pPr>
      <w:ind w:left="1021" w:firstLine="0"/>
    </w:pPr>
  </w:style>
  <w:style w:type="paragraph" w:styleId="ListContinue4">
    <w:name w:val="List Continue 4"/>
    <w:basedOn w:val="List4"/>
    <w:rsid w:val="009B27FF"/>
    <w:pPr>
      <w:ind w:firstLine="0"/>
    </w:pPr>
  </w:style>
  <w:style w:type="paragraph" w:styleId="ListContinue5">
    <w:name w:val="List Continue 5"/>
    <w:basedOn w:val="List5"/>
    <w:rsid w:val="009B27FF"/>
    <w:pPr>
      <w:ind w:firstLine="0"/>
    </w:pPr>
  </w:style>
  <w:style w:type="paragraph" w:styleId="ListNumber3">
    <w:name w:val="List Number 3"/>
    <w:basedOn w:val="List3"/>
    <w:rsid w:val="009B27FF"/>
    <w:pPr>
      <w:numPr>
        <w:numId w:val="3"/>
      </w:numPr>
    </w:pPr>
  </w:style>
  <w:style w:type="paragraph" w:styleId="ListNumber4">
    <w:name w:val="List Number 4"/>
    <w:basedOn w:val="List4"/>
    <w:rsid w:val="009B27FF"/>
    <w:pPr>
      <w:numPr>
        <w:numId w:val="4"/>
      </w:numPr>
    </w:pPr>
  </w:style>
  <w:style w:type="paragraph" w:styleId="ListNumber5">
    <w:name w:val="List Number 5"/>
    <w:basedOn w:val="List5"/>
    <w:rsid w:val="009B27FF"/>
    <w:pPr>
      <w:numPr>
        <w:numId w:val="5"/>
      </w:numPr>
    </w:pPr>
  </w:style>
  <w:style w:type="paragraph" w:styleId="BlockText">
    <w:name w:val="Block Text"/>
    <w:basedOn w:val="Normal"/>
    <w:rsid w:val="009B27FF"/>
    <w:pPr>
      <w:spacing w:after="120"/>
      <w:ind w:left="1440" w:right="1440"/>
    </w:pPr>
  </w:style>
  <w:style w:type="character" w:customStyle="1" w:styleId="Subscript">
    <w:name w:val="Subscript"/>
    <w:basedOn w:val="DefaultParagraphFont"/>
    <w:rsid w:val="009B27FF"/>
    <w:rPr>
      <w:sz w:val="16"/>
      <w:vertAlign w:val="subscript"/>
    </w:rPr>
  </w:style>
  <w:style w:type="character" w:customStyle="1" w:styleId="Superscript">
    <w:name w:val="Superscript"/>
    <w:basedOn w:val="DefaultParagraphFont"/>
    <w:rsid w:val="009B27FF"/>
    <w:rPr>
      <w:sz w:val="16"/>
      <w:vertAlign w:val="superscript"/>
    </w:rPr>
  </w:style>
  <w:style w:type="character" w:customStyle="1" w:styleId="Symbols">
    <w:name w:val="Symbols"/>
    <w:basedOn w:val="DefaultParagraphFont"/>
    <w:rsid w:val="009B27FF"/>
    <w:rPr>
      <w:rFonts w:ascii="Symbol" w:hAnsi="Symbol"/>
    </w:rPr>
  </w:style>
  <w:style w:type="character" w:customStyle="1" w:styleId="MenuOptions">
    <w:name w:val="Menu Options"/>
    <w:basedOn w:val="DefaultParagraphFont"/>
    <w:rsid w:val="009B27FF"/>
    <w:rPr>
      <w:rFonts w:ascii="Arial Narrow" w:hAnsi="Arial Narrow"/>
      <w:smallCaps/>
    </w:rPr>
  </w:style>
  <w:style w:type="character" w:customStyle="1" w:styleId="Buttons">
    <w:name w:val="Buttons"/>
    <w:basedOn w:val="DefaultParagraphFont"/>
    <w:rsid w:val="009B27FF"/>
    <w:rPr>
      <w:b/>
    </w:rPr>
  </w:style>
  <w:style w:type="character" w:customStyle="1" w:styleId="Underlined">
    <w:name w:val="Underlined"/>
    <w:basedOn w:val="DefaultParagraphFont"/>
    <w:rsid w:val="009B27FF"/>
    <w:rPr>
      <w:u w:val="single"/>
    </w:rPr>
  </w:style>
  <w:style w:type="paragraph" w:customStyle="1" w:styleId="TableBodyTextRight">
    <w:name w:val="Table Body Text Right"/>
    <w:basedOn w:val="TableBodyText"/>
    <w:rsid w:val="009B27FF"/>
    <w:pPr>
      <w:widowControl w:val="0"/>
      <w:autoSpaceDE w:val="0"/>
      <w:autoSpaceDN w:val="0"/>
      <w:adjustRightInd w:val="0"/>
      <w:jc w:val="right"/>
    </w:pPr>
    <w:rPr>
      <w:rFonts w:cs="Arial"/>
      <w:szCs w:val="18"/>
    </w:rPr>
  </w:style>
  <w:style w:type="paragraph" w:customStyle="1" w:styleId="CopyrightText">
    <w:name w:val="Copyright Text"/>
    <w:basedOn w:val="BodyText"/>
    <w:rsid w:val="009B27FF"/>
    <w:rPr>
      <w:sz w:val="18"/>
    </w:rPr>
  </w:style>
  <w:style w:type="paragraph" w:customStyle="1" w:styleId="BodySmallRight">
    <w:name w:val="Body Small Right"/>
    <w:basedOn w:val="BodyTextRight"/>
    <w:rsid w:val="009B27FF"/>
    <w:rPr>
      <w:sz w:val="18"/>
      <w:szCs w:val="18"/>
    </w:rPr>
  </w:style>
  <w:style w:type="paragraph" w:customStyle="1" w:styleId="MarginEdition">
    <w:name w:val="Margin Edition"/>
    <w:basedOn w:val="MarginNote"/>
    <w:rsid w:val="009B27FF"/>
    <w:pPr>
      <w:spacing w:before="0" w:after="0"/>
    </w:pPr>
    <w:rPr>
      <w:rFonts w:ascii="Times New Roman" w:hAnsi="Times New Roman"/>
      <w:color w:val="999999"/>
    </w:rPr>
  </w:style>
  <w:style w:type="paragraph" w:customStyle="1" w:styleId="Spacer">
    <w:name w:val="Spacer"/>
    <w:basedOn w:val="Normal"/>
    <w:rsid w:val="009B27FF"/>
    <w:rPr>
      <w:sz w:val="2"/>
      <w:szCs w:val="2"/>
    </w:rPr>
  </w:style>
  <w:style w:type="character" w:customStyle="1" w:styleId="Small">
    <w:name w:val="Small"/>
    <w:basedOn w:val="DefaultParagraphFont"/>
    <w:rsid w:val="009B27FF"/>
    <w:rPr>
      <w:sz w:val="16"/>
    </w:rPr>
  </w:style>
  <w:style w:type="paragraph" w:customStyle="1" w:styleId="WideTable">
    <w:name w:val="Wide Table"/>
    <w:basedOn w:val="Normal"/>
    <w:rsid w:val="009B27FF"/>
    <w:pPr>
      <w:ind w:left="-1418"/>
    </w:pPr>
    <w:rPr>
      <w:sz w:val="2"/>
      <w:szCs w:val="2"/>
    </w:rPr>
  </w:style>
  <w:style w:type="character" w:styleId="PageNumber">
    <w:name w:val="page number"/>
    <w:basedOn w:val="DefaultParagraphFont"/>
    <w:rsid w:val="009B27FF"/>
  </w:style>
  <w:style w:type="paragraph" w:styleId="Quote">
    <w:name w:val="Quote"/>
    <w:basedOn w:val="Heading1"/>
    <w:link w:val="QuoteChar"/>
    <w:qFormat/>
    <w:rsid w:val="009B27FF"/>
    <w:rPr>
      <w:b w:val="0"/>
      <w:sz w:val="72"/>
      <w:szCs w:val="72"/>
      <w:lang w:val="en-NZ"/>
    </w:rPr>
  </w:style>
  <w:style w:type="character" w:customStyle="1" w:styleId="QuoteChar">
    <w:name w:val="Quote Char"/>
    <w:basedOn w:val="DefaultParagraphFont"/>
    <w:link w:val="Quote"/>
    <w:rsid w:val="009B27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7FF"/>
    <w:pPr>
      <w:pageBreakBefore/>
    </w:pPr>
  </w:style>
  <w:style w:type="paragraph" w:customStyle="1" w:styleId="Border">
    <w:name w:val="Border"/>
    <w:basedOn w:val="Normal"/>
    <w:qFormat/>
    <w:rsid w:val="009B27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7FF"/>
    <w:rPr>
      <w:b/>
      <w:bCs/>
      <w:i/>
      <w:iCs/>
      <w:color w:val="auto"/>
    </w:rPr>
  </w:style>
  <w:style w:type="paragraph" w:styleId="IntenseQuote">
    <w:name w:val="Intense Quote"/>
    <w:basedOn w:val="Normal"/>
    <w:next w:val="Normal"/>
    <w:link w:val="IntenseQuoteChar"/>
    <w:uiPriority w:val="30"/>
    <w:qFormat/>
    <w:rsid w:val="009B27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7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7FF"/>
    <w:rPr>
      <w:smallCaps/>
      <w:color w:val="auto"/>
      <w:u w:val="single"/>
    </w:rPr>
  </w:style>
  <w:style w:type="character" w:styleId="IntenseReference">
    <w:name w:val="Intense Reference"/>
    <w:basedOn w:val="DefaultParagraphFont"/>
    <w:uiPriority w:val="32"/>
    <w:qFormat/>
    <w:rsid w:val="009B27FF"/>
    <w:rPr>
      <w:b/>
      <w:bCs/>
      <w:smallCaps/>
      <w:color w:val="auto"/>
      <w:spacing w:val="5"/>
      <w:u w:val="single"/>
    </w:rPr>
  </w:style>
  <w:style w:type="paragraph" w:customStyle="1" w:styleId="2ColumnHeading">
    <w:name w:val="2Column Heading"/>
    <w:basedOn w:val="BodyText"/>
    <w:qFormat/>
    <w:rsid w:val="009B27FF"/>
    <w:pPr>
      <w:spacing w:after="60"/>
      <w:ind w:left="-2268"/>
    </w:pPr>
    <w:rPr>
      <w:b/>
    </w:rPr>
  </w:style>
  <w:style w:type="paragraph" w:customStyle="1" w:styleId="Heading1TOC">
    <w:name w:val="Heading1 TOC"/>
    <w:basedOn w:val="Normal"/>
    <w:qFormat/>
    <w:rsid w:val="009B27FF"/>
    <w:pPr>
      <w:spacing w:before="240" w:after="120"/>
    </w:pPr>
    <w:rPr>
      <w:rFonts w:ascii="Times New Roman" w:hAnsi="Times New Roman"/>
      <w:b/>
      <w:sz w:val="32"/>
    </w:rPr>
  </w:style>
  <w:style w:type="paragraph" w:customStyle="1" w:styleId="Heading2TOC">
    <w:name w:val="Heading2 TOC"/>
    <w:basedOn w:val="Normal"/>
    <w:qFormat/>
    <w:rsid w:val="009B27FF"/>
    <w:pPr>
      <w:spacing w:before="240" w:after="60"/>
    </w:pPr>
    <w:rPr>
      <w:rFonts w:ascii="Times New Roman" w:hAnsi="Times New Roman"/>
      <w:b/>
      <w:sz w:val="28"/>
    </w:rPr>
  </w:style>
  <w:style w:type="character" w:customStyle="1" w:styleId="Underline">
    <w:name w:val="Underline"/>
    <w:basedOn w:val="DefaultParagraphFont"/>
    <w:qFormat/>
    <w:rsid w:val="009B27FF"/>
    <w:rPr>
      <w:u w:val="single"/>
    </w:rPr>
  </w:style>
  <w:style w:type="character" w:customStyle="1" w:styleId="BoldandItalics">
    <w:name w:val="Bold and Italics"/>
    <w:qFormat/>
    <w:rsid w:val="009B27FF"/>
    <w:rPr>
      <w:b/>
      <w:i/>
      <w:u w:val="none"/>
    </w:rPr>
  </w:style>
  <w:style w:type="paragraph" w:styleId="BalloonText">
    <w:name w:val="Balloon Text"/>
    <w:basedOn w:val="Normal"/>
    <w:link w:val="BalloonTextChar"/>
    <w:rsid w:val="009B27FF"/>
    <w:rPr>
      <w:rFonts w:ascii="Tahoma" w:hAnsi="Tahoma" w:cs="Tahoma"/>
      <w:sz w:val="16"/>
      <w:szCs w:val="16"/>
    </w:rPr>
  </w:style>
  <w:style w:type="character" w:customStyle="1" w:styleId="BalloonTextChar">
    <w:name w:val="Balloon Text Char"/>
    <w:basedOn w:val="DefaultParagraphFont"/>
    <w:link w:val="BalloonText"/>
    <w:rsid w:val="009B27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7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7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7FF"/>
    <w:rPr>
      <w:b/>
      <w:color w:val="660033"/>
      <w:spacing w:val="0"/>
    </w:rPr>
  </w:style>
  <w:style w:type="paragraph" w:customStyle="1" w:styleId="Nameditemlist">
    <w:name w:val="Named item list"/>
    <w:basedOn w:val="BodyText"/>
    <w:qFormat/>
    <w:rsid w:val="009B27FF"/>
    <w:pPr>
      <w:tabs>
        <w:tab w:val="left" w:pos="2835"/>
      </w:tabs>
      <w:ind w:left="2835" w:hanging="2835"/>
    </w:pPr>
  </w:style>
  <w:style w:type="paragraph" w:customStyle="1" w:styleId="BodyTextnopadding">
    <w:name w:val="Body Text no padding"/>
    <w:basedOn w:val="BodyText"/>
    <w:qFormat/>
    <w:rsid w:val="009B27FF"/>
    <w:pPr>
      <w:spacing w:before="0" w:after="0"/>
    </w:pPr>
  </w:style>
  <w:style w:type="paragraph" w:customStyle="1" w:styleId="BodyTextBold">
    <w:name w:val="Body Text Bold"/>
    <w:basedOn w:val="BodyText"/>
    <w:qFormat/>
    <w:rsid w:val="009B27FF"/>
    <w:rPr>
      <w:b/>
    </w:rPr>
  </w:style>
  <w:style w:type="character" w:styleId="Hyperlink">
    <w:name w:val="Hyperlink"/>
    <w:basedOn w:val="DefaultParagraphFont"/>
    <w:uiPriority w:val="99"/>
    <w:unhideWhenUsed/>
    <w:rsid w:val="001646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1407</Words>
  <Characters>9107</Characters>
  <Application>Microsoft Office Word</Application>
  <DocSecurity>0</DocSecurity>
  <Lines>206</Lines>
  <Paragraphs>161</Paragraphs>
  <ScaleCrop>false</ScaleCrop>
  <Company>Author-it Software Corporation Ltd.</Company>
  <LinksUpToDate>false</LinksUpToDate>
  <CharactersWithSpaces>10353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HLTAMB008 Assess and deliver standard clinical care</dc:title>
  <dc:subject>Approved</dc:subject>
  <dc:creator>SkillsIQ</dc:creator>
  <cp:keywords>Release: 1</cp:keywords>
  <dc:description>Review Date: 12 April 2008</dc:description>
  <cp:lastModifiedBy>HSD_TPCMSd.prod</cp:lastModifiedBy>
  <cp:revision>3</cp:revision>
  <dcterms:created xsi:type="dcterms:W3CDTF">2020-10-16T06:15:00Z</dcterms:created>
  <dcterms:modified xsi:type="dcterms:W3CDTF">2020-10-16T06:15:00Z</dcterms:modified>
</cp:coreProperties>
</file>