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07B" w:rsidP="00DB70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HLTAHW074 Provide closure on healing processes</w:t>
      </w:r>
      <w:r>
        <w:fldChar w:fldCharType="end"/>
      </w:r>
    </w:p>
    <w:p w:rsidR="00DB707B" w:rsidP="00DB707B">
      <w:pPr>
        <w:pStyle w:val="Version"/>
        <w:sectPr w:rsidSect="007E4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4B77" w:rsidP="007E4B77">
      <w:pPr>
        <w:pStyle w:val="SuperHeading"/>
      </w:pPr>
      <w:r w:rsidRPr="007E4B77">
        <w:t>HLTAHW074 Provide closure on healing processes</w:t>
      </w:r>
    </w:p>
    <w:p w:rsidR="00000000" w:rsidRPr="007E4B77" w:rsidP="007E4B77">
      <w:pPr>
        <w:pStyle w:val="Heading1"/>
      </w:pPr>
      <w:bookmarkStart w:id="1" w:name="O_745795"/>
      <w:bookmarkEnd w:id="1"/>
      <w:r w:rsidRPr="007E4B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B77" w:rsidP="007E4B77">
            <w:pPr>
              <w:pStyle w:val="BodyText"/>
            </w:pPr>
            <w:r w:rsidRPr="007E4B7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rPr>
                <w:rStyle w:val="SpecialBold"/>
              </w:rPr>
              <w:t>Comments</w:t>
            </w:r>
          </w:p>
        </w:tc>
      </w:tr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B77" w:rsidP="007E4B77">
            <w:pPr>
              <w:pStyle w:val="BodyText"/>
            </w:pPr>
            <w:r w:rsidRPr="007E4B77">
              <w:t>Updated:</w:t>
            </w:r>
          </w:p>
          <w:p w:rsidR="00000000" w:rsidRPr="007E4B77" w:rsidP="007E4B77">
            <w:pPr>
              <w:pStyle w:val="ListBullet"/>
            </w:pPr>
            <w:r w:rsidRPr="007E4B77">
              <w:t>assessor requirements statement</w:t>
            </w:r>
          </w:p>
          <w:p w:rsidR="00000000" w:rsidRPr="007E4B77" w:rsidP="007E4B77">
            <w:pPr>
              <w:pStyle w:val="ListBullet"/>
            </w:pPr>
            <w:r w:rsidRPr="007E4B77">
              <w:t>foundation skills lead in statement</w:t>
            </w:r>
          </w:p>
          <w:p w:rsidR="00000000" w:rsidRPr="007E4B77" w:rsidP="007E4B77">
            <w:pPr>
              <w:pStyle w:val="ListBullet"/>
            </w:pPr>
            <w:r w:rsidRPr="007E4B77">
              <w:t>licensing statement</w:t>
            </w:r>
          </w:p>
          <w:p w:rsidR="00000000" w:rsidRPr="007E4B77" w:rsidP="007E4B77">
            <w:pPr>
              <w:pStyle w:val="ListBullet"/>
            </w:pPr>
            <w:r w:rsidRPr="007E4B77">
              <w:t>modification history to reflect 2012 standards</w:t>
            </w:r>
          </w:p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t>Equivalent outcome.</w:t>
            </w:r>
          </w:p>
        </w:tc>
      </w:tr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B77" w:rsidP="007E4B77">
            <w:pPr>
              <w:pStyle w:val="BodyText"/>
            </w:pPr>
            <w:r w:rsidRPr="007E4B77">
              <w:t xml:space="preserve">This version was released in </w:t>
            </w:r>
            <w:r w:rsidRPr="007E4B77">
              <w:rPr>
                <w:rStyle w:val="Emphasis"/>
              </w:rPr>
              <w:t>HLT Health Training Package release 1.0</w:t>
            </w:r>
            <w:r w:rsidRPr="007E4B77">
              <w:t xml:space="preserve"> and meets the requirements of the 2012 Standards for Training Packages.</w:t>
            </w:r>
          </w:p>
          <w:p w:rsidR="00000000" w:rsidRPr="007E4B77" w:rsidP="007E4B77">
            <w:pPr>
              <w:pStyle w:val="BodyText"/>
            </w:pPr>
            <w:r w:rsidRPr="007E4B77">
              <w:t>Significant changes to elements and performance criteria.</w:t>
            </w:r>
            <w:r w:rsidRPr="007E4B77">
              <w:br/>
              <w:t>New evidence requirements for assessment, including volum</w:t>
            </w:r>
            <w:r w:rsidRPr="007E4B77">
              <w:t>e and environment requirements.</w:t>
            </w:r>
          </w:p>
          <w:p w:rsidR="00000000" w:rsidRPr="007E4B77" w:rsidP="007E4B77">
            <w:pPr>
              <w:pStyle w:val="BodyText"/>
            </w:pPr>
            <w:r w:rsidRPr="007E4B77">
              <w:t>Pre-requisite units removed.</w:t>
            </w:r>
          </w:p>
        </w:tc>
      </w:tr>
    </w:tbl>
    <w:p w:rsidR="00000000" w:rsidRPr="007E4B77" w:rsidP="007E4B77">
      <w:pPr>
        <w:pStyle w:val="BodyText"/>
      </w:pPr>
    </w:p>
    <w:p w:rsidR="00000000" w:rsidRPr="007E4B77" w:rsidP="007E4B77">
      <w:pPr>
        <w:pStyle w:val="AllowPageBreak"/>
      </w:pPr>
    </w:p>
    <w:p w:rsidR="00000000" w:rsidRPr="007E4B77" w:rsidP="007E4B77">
      <w:pPr>
        <w:pStyle w:val="Heading1"/>
      </w:pPr>
      <w:bookmarkStart w:id="2" w:name="O_745794"/>
      <w:bookmarkEnd w:id="2"/>
      <w:r w:rsidRPr="007E4B77">
        <w:t>Application</w:t>
      </w:r>
    </w:p>
    <w:p w:rsidR="00000000" w:rsidRPr="007E4B77" w:rsidP="00DB707B">
      <w:pPr>
        <w:pStyle w:val="BodyText"/>
      </w:pPr>
      <w:r w:rsidRPr="007E4B77">
        <w:t>This unit describes the required skills and knowledge to bring to a close the healing process as part of a relationship between a client and social and emotional we</w:t>
      </w:r>
      <w:r w:rsidRPr="007E4B77">
        <w:t>llbeing worker, as well as to access local therapeutic services, recognising limitations of therapy and factors that may influence clients in contacting a therapist.</w:t>
      </w:r>
    </w:p>
    <w:p w:rsidR="00000000" w:rsidRPr="007E4B77" w:rsidP="00DB707B">
      <w:pPr>
        <w:pStyle w:val="BodyText"/>
      </w:pPr>
      <w:r w:rsidRPr="007E4B77">
        <w:t>The unit applies to senior Aboriginal and/or Torres Strait Islander Health Workers overse</w:t>
      </w:r>
      <w:r w:rsidRPr="007E4B77">
        <w:t xml:space="preserve">eing clinical aspects of the delivery of primary health care services and/or managing the overall delivery of primary health care services and programs to Aboriginal and/or Torres Strait Islander clients and communities. </w:t>
      </w:r>
    </w:p>
    <w:p w:rsidR="00DB707B" w:rsidP="00DB707B">
      <w:pPr>
        <w:pStyle w:val="BodyText"/>
      </w:pPr>
      <w:r w:rsidRPr="007E4B77">
        <w:t>This unit equips Aboriginal and/o</w:t>
      </w:r>
      <w:r w:rsidRPr="007E4B77">
        <w:t>r Torres Strait Islander Health Workers to provide support related to social and emotional wellbeing and does not infer that they are qualified counsellors.</w:t>
      </w:r>
    </w:p>
    <w:p w:rsidR="00DB707B" w:rsidRPr="00DB707B" w:rsidP="00DB707B">
      <w:pPr>
        <w:pStyle w:val="BodyText"/>
        <w:rPr>
          <w:i/>
        </w:rPr>
      </w:pPr>
      <w:r w:rsidRPr="00DB707B">
        <w:rPr>
          <w:rStyle w:val="Emphasis"/>
        </w:rPr>
        <w:t>The skills in this unit must be applied in accordance with Commonwealth and State/Territory legis</w:t>
      </w:r>
      <w:r w:rsidRPr="00DB707B">
        <w:rPr>
          <w:rStyle w:val="Emphasis"/>
        </w:rPr>
        <w:t>lation, Australian/New Zealand standards and industry codes of practice</w:t>
      </w:r>
      <w:r w:rsidRPr="00DB707B">
        <w:rPr>
          <w:i/>
        </w:rPr>
        <w:t>.</w:t>
      </w:r>
    </w:p>
    <w:p w:rsidR="00000000" w:rsidRPr="007E4B77" w:rsidP="007E4B77">
      <w:pPr>
        <w:pStyle w:val="Heading1"/>
      </w:pPr>
      <w:bookmarkStart w:id="3" w:name="O_745793"/>
      <w:bookmarkEnd w:id="3"/>
      <w:r w:rsidRPr="007E4B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B77" w:rsidP="007E4B77">
            <w:pPr>
              <w:pStyle w:val="BodyText"/>
            </w:pPr>
            <w:r w:rsidRPr="007E4B77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rPr>
                <w:rStyle w:val="SpecialBold"/>
              </w:rPr>
              <w:t>PERFORMANCE CRITERIA</w:t>
            </w:r>
          </w:p>
        </w:tc>
      </w:tr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B77" w:rsidP="007E4B77">
            <w:pPr>
              <w:pStyle w:val="BodyText"/>
            </w:pPr>
            <w:r w:rsidRPr="007E4B77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t xml:space="preserve">1. Facilitate a group healing journey 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B77" w:rsidP="007E4B77">
            <w:pPr>
              <w:pStyle w:val="BodyText"/>
            </w:pPr>
            <w:r w:rsidRPr="007E4B77">
              <w:t>1.1</w:t>
            </w:r>
            <w:r w:rsidRPr="007E4B77">
              <w:tab/>
              <w:t>Review and agree to rules for participation in a healing group as part of a group, ensuring safety, cultura</w:t>
            </w:r>
            <w:r w:rsidRPr="007E4B77">
              <w:t>l security and confidentiality during and after the process</w:t>
            </w:r>
          </w:p>
          <w:p w:rsidR="00000000" w:rsidRPr="007E4B77" w:rsidP="007E4B77">
            <w:pPr>
              <w:pStyle w:val="BodyText"/>
            </w:pPr>
            <w:r w:rsidRPr="007E4B77">
              <w:t>1.2</w:t>
            </w:r>
            <w:r w:rsidRPr="007E4B77">
              <w:tab/>
              <w:t>Practise verbal and non-verbal communication skills within the group</w:t>
            </w:r>
          </w:p>
          <w:p w:rsidR="00000000" w:rsidRPr="007E4B77" w:rsidP="007E4B77">
            <w:pPr>
              <w:pStyle w:val="BodyText"/>
            </w:pPr>
            <w:r w:rsidRPr="007E4B77">
              <w:t>1.3</w:t>
            </w:r>
            <w:r w:rsidRPr="007E4B77">
              <w:tab/>
              <w:t>Practise self-reflection through review of key issues recorded relating to the healing process</w:t>
            </w:r>
          </w:p>
          <w:p w:rsidR="00000000" w:rsidRPr="007E4B77" w:rsidP="007E4B77">
            <w:pPr>
              <w:pStyle w:val="BodyText"/>
            </w:pPr>
            <w:r w:rsidRPr="007E4B77">
              <w:t>1.4</w:t>
            </w:r>
            <w:r w:rsidRPr="007E4B77">
              <w:tab/>
              <w:t>Acknowledge the impa</w:t>
            </w:r>
            <w:r w:rsidRPr="007E4B77">
              <w:t xml:space="preserve">ct of confronting own issues by self-disclosure of past emotional influences </w:t>
            </w:r>
          </w:p>
          <w:p w:rsidR="00000000" w:rsidRPr="007E4B77" w:rsidP="007E4B77">
            <w:pPr>
              <w:pStyle w:val="BodyText"/>
            </w:pPr>
            <w:r w:rsidRPr="007E4B77">
              <w:t>1.5</w:t>
            </w:r>
            <w:r w:rsidRPr="007E4B77">
              <w:tab/>
              <w:t>Undertake work to review and complete a healing journey in the group context</w:t>
            </w:r>
          </w:p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t>1.6</w:t>
            </w:r>
            <w:r w:rsidRPr="007E4B77">
              <w:tab/>
              <w:t>Reflect on the impacts of participation in healing journeys and share in the group context</w:t>
            </w:r>
          </w:p>
        </w:tc>
      </w:tr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</w:p>
        </w:tc>
      </w:tr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t>2. Create a safe place to continue healing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B77" w:rsidP="007E4B77">
            <w:pPr>
              <w:pStyle w:val="BodyText"/>
            </w:pPr>
            <w:r w:rsidRPr="007E4B77">
              <w:t>2.1</w:t>
            </w:r>
            <w:r w:rsidRPr="007E4B77">
              <w:tab/>
              <w:t xml:space="preserve">Acknowledge the importance of healing as an ongoing process for Aboriginal and/or Torres Strait Islander people </w:t>
            </w:r>
          </w:p>
          <w:p w:rsidR="00000000" w:rsidRPr="007E4B77" w:rsidP="007E4B77">
            <w:pPr>
              <w:pStyle w:val="BodyText"/>
            </w:pPr>
            <w:r w:rsidRPr="007E4B77">
              <w:t>2.2</w:t>
            </w:r>
            <w:r w:rsidRPr="007E4B77">
              <w:tab/>
            </w:r>
            <w:r w:rsidRPr="007E4B77">
              <w:t xml:space="preserve">Explore and clarify the relevance of experiencing personal healing as a basis for providing support and healing for clients </w:t>
            </w:r>
          </w:p>
          <w:p w:rsidR="00000000" w:rsidRPr="007E4B77" w:rsidP="007E4B77">
            <w:pPr>
              <w:pStyle w:val="BodyText"/>
            </w:pPr>
            <w:r w:rsidRPr="007E4B77">
              <w:t>2.3</w:t>
            </w:r>
            <w:r w:rsidRPr="007E4B77">
              <w:tab/>
              <w:t>Identify principles for creating a safe and culturally secure place for healing and take action to establish and maintain perso</w:t>
            </w:r>
            <w:r w:rsidRPr="007E4B77">
              <w:t>nal safety</w:t>
            </w:r>
          </w:p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t>2.4</w:t>
            </w:r>
            <w:r w:rsidRPr="007E4B77">
              <w:tab/>
              <w:t>Acknowledge the importance of the support processes of extended families in preparing for and undergoing a healing process</w:t>
            </w:r>
          </w:p>
        </w:tc>
      </w:tr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</w:p>
        </w:tc>
      </w:tr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t>3. Assist clients to access therapeutic services in the local area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B77" w:rsidP="007E4B77">
            <w:pPr>
              <w:pStyle w:val="BodyText"/>
            </w:pPr>
            <w:r w:rsidRPr="007E4B77">
              <w:t>3.1</w:t>
            </w:r>
            <w:r w:rsidRPr="007E4B77">
              <w:tab/>
              <w:t xml:space="preserve">Identify therapeutic services available in </w:t>
            </w:r>
            <w:r w:rsidRPr="007E4B77">
              <w:t xml:space="preserve">the local area </w:t>
            </w:r>
          </w:p>
          <w:p w:rsidR="00000000" w:rsidRPr="007E4B77" w:rsidP="007E4B77">
            <w:pPr>
              <w:pStyle w:val="BodyText"/>
            </w:pPr>
            <w:r w:rsidRPr="007E4B77">
              <w:t>3.2</w:t>
            </w:r>
            <w:r w:rsidRPr="007E4B77">
              <w:tab/>
              <w:t xml:space="preserve">Identify obstacles that clients may face when accessing the local therapeutic services </w:t>
            </w:r>
          </w:p>
          <w:p w:rsidR="00000000" w:rsidRPr="007E4B77" w:rsidP="007E4B77">
            <w:pPr>
              <w:pStyle w:val="BodyText"/>
            </w:pPr>
            <w:r w:rsidRPr="007E4B77">
              <w:t>3.3</w:t>
            </w:r>
            <w:r w:rsidRPr="007E4B77">
              <w:tab/>
              <w:t xml:space="preserve">Develop and implement strategies to help clients access local therapeutic services </w:t>
            </w:r>
          </w:p>
          <w:p w:rsidR="00000000" w:rsidRPr="007E4B77" w:rsidP="007E4B77">
            <w:pPr>
              <w:pStyle w:val="BodyText"/>
            </w:pPr>
            <w:r w:rsidRPr="007E4B77">
              <w:t>3.4</w:t>
            </w:r>
            <w:r w:rsidRPr="007E4B77">
              <w:tab/>
              <w:t>Develop and implement strategies for maintaining primary</w:t>
            </w:r>
            <w:r w:rsidRPr="007E4B77">
              <w:t xml:space="preserve"> contact with the client when accessing local therapeutic services </w:t>
            </w:r>
          </w:p>
        </w:tc>
      </w:tr>
    </w:tbl>
    <w:p w:rsidR="00DB707B" w:rsidP="007E4B77">
      <w:pPr>
        <w:pStyle w:val="BodyText"/>
      </w:pPr>
    </w:p>
    <w:p w:rsidR="00DB707B" w:rsidP="007E4B77">
      <w:pPr>
        <w:pStyle w:val="BodyText"/>
      </w:pPr>
    </w:p>
    <w:p w:rsidR="00000000" w:rsidRPr="007E4B77" w:rsidP="007E4B77">
      <w:pPr>
        <w:pStyle w:val="Heading1"/>
      </w:pPr>
      <w:bookmarkStart w:id="4" w:name="O_745792"/>
      <w:bookmarkEnd w:id="4"/>
      <w:r w:rsidRPr="007E4B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B77">
            <w:pPr>
              <w:pStyle w:val="BodyText"/>
              <w:rPr>
                <w:lang w:val="en-NZ"/>
              </w:rPr>
            </w:pPr>
            <w:r w:rsidRPr="007E4B77">
              <w:rPr>
                <w:rStyle w:val="Emphasis"/>
              </w:rPr>
              <w:t xml:space="preserve">The Foundation Skills describe those required skills (language, literacy, numeracy and </w:t>
            </w:r>
            <w:r w:rsidRPr="007E4B77">
              <w:t xml:space="preserve">employment </w:t>
            </w:r>
            <w:r w:rsidRPr="007E4B77">
              <w:rPr>
                <w:rStyle w:val="Emphasis"/>
              </w:rPr>
              <w:t>skills) that are essential to performance.</w:t>
            </w:r>
          </w:p>
        </w:tc>
      </w:tr>
      <w:tr w:rsidTr="007E4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B77" w:rsidP="007E4B77">
            <w:pPr>
              <w:pStyle w:val="BodyText"/>
            </w:pPr>
            <w:r w:rsidRPr="007E4B77">
              <w:t>Foundation skills essential to performance are explicit in the performance criteria of this unit of competency.</w:t>
            </w:r>
          </w:p>
        </w:tc>
      </w:tr>
    </w:tbl>
    <w:p w:rsidR="00000000" w:rsidRPr="007E4B77" w:rsidP="007E4B77">
      <w:pPr>
        <w:pStyle w:val="BodyText"/>
      </w:pPr>
    </w:p>
    <w:p w:rsidR="00000000" w:rsidRPr="007E4B77" w:rsidP="007E4B77">
      <w:pPr>
        <w:pStyle w:val="AllowPageBreak"/>
      </w:pPr>
    </w:p>
    <w:p w:rsidR="00000000" w:rsidRPr="007E4B77" w:rsidP="007E4B77">
      <w:pPr>
        <w:pStyle w:val="Heading1"/>
      </w:pPr>
      <w:bookmarkStart w:id="5" w:name="O_745791"/>
      <w:bookmarkEnd w:id="5"/>
      <w:r w:rsidRPr="007E4B77">
        <w:t>Unit Mapping Information</w:t>
      </w:r>
    </w:p>
    <w:p w:rsidR="00DB707B" w:rsidP="00DB707B">
      <w:pPr>
        <w:pStyle w:val="BodyText"/>
      </w:pPr>
      <w:r w:rsidRPr="007E4B77">
        <w:t>No equivalent unit.</w:t>
      </w:r>
    </w:p>
    <w:p w:rsidR="00000000" w:rsidRPr="007E4B77" w:rsidP="007E4B77">
      <w:pPr>
        <w:pStyle w:val="Heading1"/>
      </w:pPr>
      <w:bookmarkStart w:id="6" w:name="O_745796"/>
      <w:bookmarkEnd w:id="6"/>
      <w:r w:rsidRPr="007E4B77">
        <w:t>Links</w:t>
      </w:r>
    </w:p>
    <w:p w:rsidR="00000000" w:rsidRPr="007E4B77" w:rsidP="00DB707B">
      <w:pPr>
        <w:pStyle w:val="BodyText"/>
      </w:pPr>
      <w:r w:rsidRPr="007E4B77">
        <w:t>Companion Volume implementation guides are found in VETN</w:t>
      </w:r>
      <w:r w:rsidRPr="007E4B77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A537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E4B77" w:rsidP="007E4B77"/>
    <w:sectPr w:rsidSect="007E4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77" w:rsidRPr="00DB707B" w:rsidP="00DB70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7B" w:rsidP="007E4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707B" w:rsidP="007E4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707B" w:rsidP="007E4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B77" w:rsidRPr="00DB707B" w:rsidP="00DB70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7B" w:rsidRPr="002D2AF8" w:rsidP="007E4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HLTAHW074 Provide closure on healing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DB707B" w:rsidP="007E4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61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76F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B77"/>
  </w:style>
  <w:style w:type="character" w:customStyle="1" w:styleId="Heading1Char">
    <w:name w:val="Heading 1 Char"/>
    <w:basedOn w:val="DefaultParagraphFont"/>
    <w:link w:val="Heading1"/>
    <w:rsid w:val="007E4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B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4B77"/>
    <w:rPr>
      <w:b/>
      <w:spacing w:val="0"/>
    </w:rPr>
  </w:style>
  <w:style w:type="character" w:styleId="Emphasis">
    <w:name w:val="Emphasis"/>
    <w:basedOn w:val="DefaultParagraphFont"/>
    <w:qFormat/>
    <w:rsid w:val="007E4B77"/>
    <w:rPr>
      <w:i/>
    </w:rPr>
  </w:style>
  <w:style w:type="paragraph" w:customStyle="1" w:styleId="SuperHeading">
    <w:name w:val="SuperHeading"/>
    <w:basedOn w:val="Normal"/>
    <w:rsid w:val="007E4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4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4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B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B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B77"/>
  </w:style>
  <w:style w:type="paragraph" w:styleId="TableofFigures">
    <w:name w:val="table of figures"/>
    <w:basedOn w:val="Normal"/>
    <w:next w:val="Normal"/>
    <w:semiHidden/>
    <w:rsid w:val="007E4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B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B77"/>
    <w:rPr>
      <w:rFonts w:ascii="Wingdings" w:hAnsi="Wingdings"/>
    </w:rPr>
  </w:style>
  <w:style w:type="paragraph" w:customStyle="1" w:styleId="TableHeading">
    <w:name w:val="Table Heading"/>
    <w:basedOn w:val="HeadingBase"/>
    <w:rsid w:val="007E4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B77"/>
    <w:rPr>
      <w:color w:val="0033CC"/>
      <w:u w:val="none"/>
    </w:rPr>
  </w:style>
  <w:style w:type="paragraph" w:customStyle="1" w:styleId="BodyTextRight">
    <w:name w:val="Body Text Right"/>
    <w:basedOn w:val="BodyText"/>
    <w:rsid w:val="007E4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B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B77"/>
    <w:rPr>
      <w:sz w:val="32"/>
    </w:rPr>
  </w:style>
  <w:style w:type="paragraph" w:customStyle="1" w:styleId="HeadingProcedure">
    <w:name w:val="Heading Procedure"/>
    <w:basedOn w:val="HeadingBase"/>
    <w:next w:val="Normal"/>
    <w:rsid w:val="007E4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B77"/>
    <w:pPr>
      <w:spacing w:before="60" w:after="60"/>
    </w:pPr>
  </w:style>
  <w:style w:type="paragraph" w:styleId="ListContinue">
    <w:name w:val="List Continue"/>
    <w:basedOn w:val="List"/>
    <w:rsid w:val="007E4B77"/>
    <w:pPr>
      <w:ind w:firstLine="0"/>
    </w:pPr>
  </w:style>
  <w:style w:type="paragraph" w:customStyle="1" w:styleId="ListNote">
    <w:name w:val="List Note"/>
    <w:basedOn w:val="List"/>
    <w:rsid w:val="007E4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B77"/>
    <w:rPr>
      <w:rFonts w:ascii="Courier New" w:hAnsi="Courier New"/>
    </w:rPr>
  </w:style>
  <w:style w:type="paragraph" w:customStyle="1" w:styleId="NoteBullet">
    <w:name w:val="Note Bullet"/>
    <w:basedOn w:val="Note"/>
    <w:rsid w:val="007E4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B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B77"/>
    <w:rPr>
      <w:b/>
      <w:smallCaps/>
    </w:rPr>
  </w:style>
  <w:style w:type="paragraph" w:customStyle="1" w:styleId="TableListNumber">
    <w:name w:val="Table List Number"/>
    <w:basedOn w:val="ListNumber"/>
    <w:rsid w:val="007E4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B77"/>
    <w:pPr>
      <w:numPr>
        <w:numId w:val="8"/>
      </w:numPr>
    </w:pPr>
  </w:style>
  <w:style w:type="paragraph" w:customStyle="1" w:styleId="ListAlpha2">
    <w:name w:val="List Alpha 2"/>
    <w:basedOn w:val="List2"/>
    <w:rsid w:val="007E4B77"/>
    <w:pPr>
      <w:numPr>
        <w:numId w:val="7"/>
      </w:numPr>
    </w:pPr>
  </w:style>
  <w:style w:type="paragraph" w:styleId="List2">
    <w:name w:val="List 2"/>
    <w:basedOn w:val="BodyText"/>
    <w:rsid w:val="007E4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B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B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B77"/>
    <w:pPr>
      <w:numPr>
        <w:numId w:val="3"/>
      </w:numPr>
    </w:pPr>
  </w:style>
  <w:style w:type="paragraph" w:styleId="ListContinue2">
    <w:name w:val="List Continue 2"/>
    <w:basedOn w:val="List2"/>
    <w:rsid w:val="007E4B77"/>
    <w:pPr>
      <w:ind w:firstLine="0"/>
    </w:pPr>
  </w:style>
  <w:style w:type="paragraph" w:styleId="ListContinue3">
    <w:name w:val="List Continue 3"/>
    <w:basedOn w:val="List3"/>
    <w:rsid w:val="007E4B77"/>
    <w:pPr>
      <w:ind w:left="1021" w:firstLine="0"/>
    </w:pPr>
  </w:style>
  <w:style w:type="paragraph" w:styleId="ListContinue4">
    <w:name w:val="List Continue 4"/>
    <w:basedOn w:val="List4"/>
    <w:rsid w:val="007E4B77"/>
    <w:pPr>
      <w:ind w:firstLine="0"/>
    </w:pPr>
  </w:style>
  <w:style w:type="paragraph" w:styleId="ListContinue5">
    <w:name w:val="List Continue 5"/>
    <w:basedOn w:val="List5"/>
    <w:rsid w:val="007E4B77"/>
    <w:pPr>
      <w:ind w:firstLine="0"/>
    </w:pPr>
  </w:style>
  <w:style w:type="paragraph" w:styleId="ListNumber3">
    <w:name w:val="List Number 3"/>
    <w:basedOn w:val="List3"/>
    <w:rsid w:val="007E4B77"/>
    <w:pPr>
      <w:numPr>
        <w:numId w:val="4"/>
      </w:numPr>
    </w:pPr>
  </w:style>
  <w:style w:type="paragraph" w:styleId="ListNumber4">
    <w:name w:val="List Number 4"/>
    <w:basedOn w:val="List4"/>
    <w:rsid w:val="007E4B77"/>
    <w:pPr>
      <w:numPr>
        <w:numId w:val="5"/>
      </w:numPr>
    </w:pPr>
  </w:style>
  <w:style w:type="paragraph" w:styleId="ListNumber5">
    <w:name w:val="List Number 5"/>
    <w:basedOn w:val="List5"/>
    <w:rsid w:val="007E4B77"/>
    <w:pPr>
      <w:numPr>
        <w:numId w:val="6"/>
      </w:numPr>
    </w:pPr>
  </w:style>
  <w:style w:type="paragraph" w:styleId="BlockText">
    <w:name w:val="Block Text"/>
    <w:basedOn w:val="Normal"/>
    <w:rsid w:val="007E4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B77"/>
    <w:rPr>
      <w:sz w:val="16"/>
      <w:vertAlign w:val="superscript"/>
    </w:rPr>
  </w:style>
  <w:style w:type="character" w:customStyle="1" w:styleId="Symbols">
    <w:name w:val="Symbols"/>
    <w:basedOn w:val="DefaultParagraphFont"/>
    <w:rsid w:val="007E4B77"/>
    <w:rPr>
      <w:rFonts w:ascii="Symbol" w:hAnsi="Symbol"/>
    </w:rPr>
  </w:style>
  <w:style w:type="character" w:customStyle="1" w:styleId="MenuOptions">
    <w:name w:val="Menu Options"/>
    <w:basedOn w:val="DefaultParagraphFont"/>
    <w:rsid w:val="007E4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B77"/>
    <w:rPr>
      <w:b/>
    </w:rPr>
  </w:style>
  <w:style w:type="character" w:customStyle="1" w:styleId="Underlined">
    <w:name w:val="Underlined"/>
    <w:basedOn w:val="DefaultParagraphFont"/>
    <w:rsid w:val="007E4B77"/>
    <w:rPr>
      <w:u w:val="single"/>
    </w:rPr>
  </w:style>
  <w:style w:type="paragraph" w:customStyle="1" w:styleId="TableBodyTextRight">
    <w:name w:val="Table Body Text Right"/>
    <w:basedOn w:val="TableBodyText"/>
    <w:rsid w:val="007E4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B77"/>
    <w:rPr>
      <w:sz w:val="18"/>
    </w:rPr>
  </w:style>
  <w:style w:type="paragraph" w:customStyle="1" w:styleId="BodySmallRight">
    <w:name w:val="Body Small Right"/>
    <w:basedOn w:val="BodyTextRight"/>
    <w:rsid w:val="007E4B77"/>
    <w:rPr>
      <w:sz w:val="18"/>
      <w:szCs w:val="18"/>
    </w:rPr>
  </w:style>
  <w:style w:type="paragraph" w:customStyle="1" w:styleId="MarginEdition">
    <w:name w:val="Margin Edition"/>
    <w:basedOn w:val="MarginNote"/>
    <w:rsid w:val="007E4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B77"/>
    <w:rPr>
      <w:sz w:val="2"/>
      <w:szCs w:val="2"/>
    </w:rPr>
  </w:style>
  <w:style w:type="character" w:customStyle="1" w:styleId="Small">
    <w:name w:val="Small"/>
    <w:basedOn w:val="DefaultParagraphFont"/>
    <w:rsid w:val="007E4B77"/>
    <w:rPr>
      <w:sz w:val="16"/>
    </w:rPr>
  </w:style>
  <w:style w:type="paragraph" w:customStyle="1" w:styleId="WideTable">
    <w:name w:val="Wide Table"/>
    <w:basedOn w:val="Normal"/>
    <w:rsid w:val="007E4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B77"/>
  </w:style>
  <w:style w:type="paragraph" w:styleId="Quote">
    <w:name w:val="Quote"/>
    <w:basedOn w:val="Heading1"/>
    <w:link w:val="QuoteChar"/>
    <w:qFormat/>
    <w:rsid w:val="007E4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B77"/>
    <w:pPr>
      <w:pageBreakBefore/>
    </w:pPr>
  </w:style>
  <w:style w:type="paragraph" w:customStyle="1" w:styleId="Border">
    <w:name w:val="Border"/>
    <w:basedOn w:val="Normal"/>
    <w:qFormat/>
    <w:rsid w:val="007E4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B77"/>
    <w:rPr>
      <w:u w:val="single"/>
    </w:rPr>
  </w:style>
  <w:style w:type="character" w:customStyle="1" w:styleId="BoldandItalics">
    <w:name w:val="Bold and Italics"/>
    <w:qFormat/>
    <w:rsid w:val="007E4B77"/>
    <w:rPr>
      <w:b/>
      <w:i/>
      <w:u w:val="none"/>
    </w:rPr>
  </w:style>
  <w:style w:type="paragraph" w:styleId="BalloonText">
    <w:name w:val="Balloon Text"/>
    <w:basedOn w:val="Normal"/>
    <w:link w:val="BalloonTextChar"/>
    <w:rsid w:val="007E4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B77"/>
    <w:pPr>
      <w:spacing w:before="0" w:after="0"/>
    </w:pPr>
  </w:style>
  <w:style w:type="paragraph" w:customStyle="1" w:styleId="BodyTextBold">
    <w:name w:val="Body Text Bold"/>
    <w:basedOn w:val="BodyText"/>
    <w:qFormat/>
    <w:rsid w:val="007E4B77"/>
    <w:rPr>
      <w:b/>
    </w:rPr>
  </w:style>
  <w:style w:type="character" w:styleId="Hyperlink">
    <w:name w:val="Hyperlink"/>
    <w:basedOn w:val="DefaultParagraphFont"/>
    <w:uiPriority w:val="99"/>
    <w:unhideWhenUsed/>
    <w:rsid w:val="00DB70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3594</Characters>
  <Application>Microsoft Office Word</Application>
  <DocSecurity>0</DocSecurity>
  <Lines>115</Lines>
  <Paragraphs>61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HLTAHW074 Provide closure on healing processes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2022-11-24T15:04:00Z</dcterms:created>
  <dcterms:modified xsi:type="dcterms:W3CDTF">2022-11-24T15:04:00Z</dcterms:modified>
</cp:coreProperties>
</file>